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2FA9CA">
      <w:pPr>
        <w:spacing w:line="560" w:lineRule="exact"/>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2  合同条款及格式</w:t>
      </w:r>
    </w:p>
    <w:p w14:paraId="6AADE90D">
      <w:pPr>
        <w:pStyle w:val="6"/>
        <w:rPr>
          <w:rFonts w:hint="eastAsia" w:ascii="仿宋_GB2312" w:hAnsi="仿宋_GB2312" w:eastAsia="仿宋_GB2312" w:cs="仿宋_GB2312"/>
          <w:color w:val="auto"/>
          <w:sz w:val="28"/>
          <w:szCs w:val="28"/>
          <w:highlight w:val="none"/>
          <w:lang w:val="en-US" w:eastAsia="zh-CN"/>
        </w:rPr>
      </w:pPr>
    </w:p>
    <w:p w14:paraId="26D99822">
      <w:pPr>
        <w:spacing w:before="139" w:line="605" w:lineRule="exact"/>
        <w:ind w:left="0"/>
        <w:jc w:val="center"/>
        <w:outlineLvl w:val="0"/>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b/>
          <w:bCs/>
          <w:color w:val="auto"/>
          <w:spacing w:val="5"/>
          <w:position w:val="3"/>
          <w:sz w:val="44"/>
          <w:szCs w:val="44"/>
          <w:highlight w:val="none"/>
          <w:lang w:eastAsia="zh-CN"/>
        </w:rPr>
        <w:t>河池市宜州区北山镇规模化供水工程项目管网配套设施工程北山社区</w:t>
      </w:r>
      <w:r>
        <w:rPr>
          <w:rFonts w:hint="eastAsia" w:ascii="方正小标宋简体" w:hAnsi="方正小标宋简体" w:eastAsia="方正小标宋简体" w:cs="方正小标宋简体"/>
          <w:b/>
          <w:bCs/>
          <w:color w:val="auto"/>
          <w:spacing w:val="5"/>
          <w:position w:val="3"/>
          <w:sz w:val="44"/>
          <w:szCs w:val="44"/>
          <w:highlight w:val="none"/>
        </w:rPr>
        <w:t>管网漏水检测合同</w:t>
      </w:r>
    </w:p>
    <w:p w14:paraId="3A398B32">
      <w:pPr>
        <w:pStyle w:val="5"/>
        <w:spacing w:line="329" w:lineRule="auto"/>
        <w:rPr>
          <w:color w:val="auto"/>
          <w:highlight w:val="none"/>
        </w:rPr>
      </w:pPr>
    </w:p>
    <w:p w14:paraId="58FED3EF">
      <w:pPr>
        <w:spacing w:before="150" w:line="213" w:lineRule="auto"/>
        <w:ind w:firstLine="1810" w:firstLineChars="500"/>
        <w:rPr>
          <w:rFonts w:hint="default" w:ascii="微软雅黑" w:hAnsi="微软雅黑" w:eastAsia="微软雅黑" w:cs="微软雅黑"/>
          <w:color w:val="auto"/>
          <w:sz w:val="35"/>
          <w:szCs w:val="35"/>
          <w:highlight w:val="none"/>
          <w:lang w:val="en-US" w:eastAsia="zh-CN"/>
        </w:rPr>
      </w:pPr>
      <w:r>
        <w:rPr>
          <w:rFonts w:ascii="微软雅黑" w:hAnsi="微软雅黑" w:eastAsia="微软雅黑" w:cs="微软雅黑"/>
          <w:color w:val="auto"/>
          <w:spacing w:val="6"/>
          <w:sz w:val="35"/>
          <w:szCs w:val="35"/>
          <w:highlight w:val="none"/>
        </w:rPr>
        <w:t>合同编号：</w:t>
      </w:r>
    </w:p>
    <w:p w14:paraId="42F1F27C">
      <w:pPr>
        <w:pStyle w:val="5"/>
        <w:spacing w:line="256" w:lineRule="auto"/>
        <w:rPr>
          <w:color w:val="auto"/>
          <w:highlight w:val="none"/>
        </w:rPr>
      </w:pPr>
    </w:p>
    <w:p w14:paraId="2FD6A711">
      <w:pPr>
        <w:pStyle w:val="5"/>
        <w:spacing w:line="256" w:lineRule="auto"/>
        <w:rPr>
          <w:color w:val="auto"/>
          <w:highlight w:val="none"/>
        </w:rPr>
      </w:pPr>
    </w:p>
    <w:p w14:paraId="4A826264">
      <w:pPr>
        <w:pStyle w:val="5"/>
        <w:spacing w:line="256" w:lineRule="auto"/>
        <w:rPr>
          <w:color w:val="auto"/>
          <w:highlight w:val="none"/>
        </w:rPr>
      </w:pPr>
    </w:p>
    <w:p w14:paraId="64C024BE">
      <w:pPr>
        <w:pStyle w:val="5"/>
        <w:spacing w:line="256" w:lineRule="auto"/>
        <w:rPr>
          <w:color w:val="auto"/>
          <w:highlight w:val="none"/>
        </w:rPr>
      </w:pPr>
    </w:p>
    <w:p w14:paraId="5FD62571">
      <w:pPr>
        <w:pStyle w:val="5"/>
        <w:spacing w:line="257" w:lineRule="auto"/>
        <w:rPr>
          <w:color w:val="auto"/>
          <w:highlight w:val="none"/>
        </w:rPr>
      </w:pPr>
    </w:p>
    <w:p w14:paraId="74A6C8DD">
      <w:pPr>
        <w:pStyle w:val="5"/>
        <w:spacing w:line="257" w:lineRule="auto"/>
        <w:rPr>
          <w:color w:val="auto"/>
          <w:highlight w:val="none"/>
        </w:rPr>
      </w:pPr>
    </w:p>
    <w:p w14:paraId="3602620D">
      <w:pPr>
        <w:pStyle w:val="5"/>
        <w:spacing w:line="257" w:lineRule="auto"/>
        <w:rPr>
          <w:color w:val="auto"/>
          <w:highlight w:val="none"/>
        </w:rPr>
      </w:pPr>
    </w:p>
    <w:p w14:paraId="7B1F1CF6">
      <w:pPr>
        <w:pStyle w:val="5"/>
        <w:spacing w:line="257" w:lineRule="auto"/>
        <w:rPr>
          <w:color w:val="auto"/>
          <w:highlight w:val="none"/>
        </w:rPr>
      </w:pPr>
    </w:p>
    <w:p w14:paraId="5B46632A">
      <w:pPr>
        <w:pStyle w:val="5"/>
        <w:spacing w:line="257" w:lineRule="auto"/>
        <w:rPr>
          <w:color w:val="auto"/>
          <w:highlight w:val="none"/>
        </w:rPr>
      </w:pPr>
    </w:p>
    <w:p w14:paraId="2D3C66AD">
      <w:pPr>
        <w:spacing w:before="114" w:line="498" w:lineRule="exact"/>
        <w:ind w:left="25"/>
        <w:rPr>
          <w:rFonts w:ascii="宋体" w:hAnsi="宋体" w:eastAsia="宋体" w:cs="宋体"/>
          <w:color w:val="auto"/>
          <w:sz w:val="35"/>
          <w:szCs w:val="35"/>
          <w:highlight w:val="none"/>
        </w:rPr>
      </w:pPr>
      <w:r>
        <w:rPr>
          <w:rFonts w:ascii="宋体" w:hAnsi="宋体" w:eastAsia="宋体" w:cs="宋体"/>
          <w:b/>
          <w:bCs/>
          <w:color w:val="auto"/>
          <w:spacing w:val="-11"/>
          <w:position w:val="2"/>
          <w:sz w:val="35"/>
          <w:szCs w:val="35"/>
          <w:highlight w:val="none"/>
        </w:rPr>
        <w:t>委托方（甲方</w:t>
      </w:r>
      <w:r>
        <w:rPr>
          <w:rFonts w:ascii="宋体" w:hAnsi="宋体" w:eastAsia="宋体" w:cs="宋体"/>
          <w:b/>
          <w:bCs/>
          <w:color w:val="auto"/>
          <w:spacing w:val="-77"/>
          <w:position w:val="2"/>
          <w:sz w:val="35"/>
          <w:szCs w:val="35"/>
          <w:highlight w:val="none"/>
        </w:rPr>
        <w:t>）：</w:t>
      </w:r>
    </w:p>
    <w:p w14:paraId="3CDE9191">
      <w:pPr>
        <w:pStyle w:val="5"/>
        <w:spacing w:line="294" w:lineRule="auto"/>
        <w:rPr>
          <w:color w:val="auto"/>
          <w:highlight w:val="none"/>
        </w:rPr>
      </w:pPr>
    </w:p>
    <w:p w14:paraId="20EF126B">
      <w:pPr>
        <w:pStyle w:val="5"/>
        <w:spacing w:line="295" w:lineRule="auto"/>
        <w:rPr>
          <w:color w:val="auto"/>
          <w:highlight w:val="none"/>
        </w:rPr>
      </w:pPr>
    </w:p>
    <w:p w14:paraId="03D69431">
      <w:pPr>
        <w:spacing w:before="113" w:line="495" w:lineRule="exact"/>
        <w:ind w:left="0"/>
        <w:rPr>
          <w:rFonts w:hint="default" w:ascii="宋体" w:hAnsi="宋体" w:eastAsia="宋体" w:cs="宋体"/>
          <w:color w:val="auto"/>
          <w:sz w:val="35"/>
          <w:szCs w:val="35"/>
          <w:highlight w:val="none"/>
          <w:lang w:val="en-US" w:eastAsia="zh-CN"/>
        </w:rPr>
      </w:pPr>
      <w:r>
        <w:rPr>
          <w:rFonts w:ascii="宋体" w:hAnsi="宋体" w:eastAsia="宋体" w:cs="宋体"/>
          <w:b/>
          <w:bCs/>
          <w:color w:val="auto"/>
          <w:spacing w:val="5"/>
          <w:position w:val="2"/>
          <w:sz w:val="35"/>
          <w:szCs w:val="35"/>
          <w:highlight w:val="none"/>
        </w:rPr>
        <w:t>受托方（乙方</w:t>
      </w:r>
      <w:r>
        <w:rPr>
          <w:rFonts w:ascii="宋体" w:hAnsi="宋体" w:eastAsia="宋体" w:cs="宋体"/>
          <w:b/>
          <w:bCs/>
          <w:color w:val="auto"/>
          <w:spacing w:val="-77"/>
          <w:position w:val="2"/>
          <w:sz w:val="35"/>
          <w:szCs w:val="35"/>
          <w:highlight w:val="none"/>
        </w:rPr>
        <w:t>）：</w:t>
      </w:r>
    </w:p>
    <w:p w14:paraId="1F3718F2">
      <w:pPr>
        <w:pStyle w:val="5"/>
        <w:rPr>
          <w:color w:val="auto"/>
          <w:highlight w:val="none"/>
        </w:rPr>
      </w:pPr>
    </w:p>
    <w:p w14:paraId="7F60C8D6">
      <w:pPr>
        <w:pStyle w:val="5"/>
        <w:rPr>
          <w:color w:val="auto"/>
          <w:highlight w:val="none"/>
        </w:rPr>
      </w:pPr>
    </w:p>
    <w:p w14:paraId="08AC1BBC">
      <w:pPr>
        <w:pStyle w:val="5"/>
        <w:spacing w:line="241" w:lineRule="auto"/>
        <w:rPr>
          <w:color w:val="auto"/>
          <w:highlight w:val="none"/>
        </w:rPr>
      </w:pPr>
    </w:p>
    <w:p w14:paraId="75458386">
      <w:pPr>
        <w:pStyle w:val="5"/>
        <w:spacing w:line="241" w:lineRule="auto"/>
        <w:rPr>
          <w:color w:val="auto"/>
          <w:highlight w:val="none"/>
        </w:rPr>
      </w:pPr>
    </w:p>
    <w:p w14:paraId="300A0201">
      <w:pPr>
        <w:pStyle w:val="5"/>
        <w:spacing w:line="241" w:lineRule="auto"/>
        <w:rPr>
          <w:color w:val="auto"/>
          <w:highlight w:val="none"/>
        </w:rPr>
      </w:pPr>
    </w:p>
    <w:p w14:paraId="73FD1469">
      <w:pPr>
        <w:pStyle w:val="5"/>
        <w:spacing w:line="241" w:lineRule="auto"/>
        <w:rPr>
          <w:color w:val="auto"/>
          <w:highlight w:val="none"/>
        </w:rPr>
      </w:pPr>
    </w:p>
    <w:p w14:paraId="3FA799EC">
      <w:pPr>
        <w:spacing w:before="113" w:line="492" w:lineRule="auto"/>
        <w:ind w:left="28" w:right="6584"/>
        <w:rPr>
          <w:rFonts w:ascii="宋体" w:hAnsi="宋体" w:eastAsia="宋体" w:cs="宋体"/>
          <w:color w:val="auto"/>
          <w:spacing w:val="2"/>
          <w:sz w:val="35"/>
          <w:szCs w:val="35"/>
          <w:highlight w:val="none"/>
        </w:rPr>
      </w:pPr>
      <w:r>
        <w:rPr>
          <w:rFonts w:ascii="宋体" w:hAnsi="宋体" w:eastAsia="宋体" w:cs="宋体"/>
          <w:b/>
          <w:bCs/>
          <w:color w:val="auto"/>
          <w:spacing w:val="-10"/>
          <w:sz w:val="35"/>
          <w:szCs w:val="35"/>
          <w:highlight w:val="none"/>
        </w:rPr>
        <w:t>签订日期：</w:t>
      </w:r>
    </w:p>
    <w:p w14:paraId="7658F561">
      <w:pPr>
        <w:spacing w:before="113" w:line="492" w:lineRule="auto"/>
        <w:ind w:left="28" w:right="6584"/>
        <w:rPr>
          <w:rFonts w:hint="eastAsia" w:ascii="宋体" w:hAnsi="宋体" w:eastAsia="宋体" w:cs="宋体"/>
          <w:color w:val="auto"/>
          <w:sz w:val="35"/>
          <w:szCs w:val="35"/>
          <w:highlight w:val="none"/>
          <w:lang w:eastAsia="zh-CN"/>
        </w:rPr>
        <w:sectPr>
          <w:footerReference r:id="rId3" w:type="default"/>
          <w:pgSz w:w="11906" w:h="16839"/>
          <w:pgMar w:top="2098" w:right="1474" w:bottom="1440" w:left="1587" w:header="0" w:footer="1202" w:gutter="0"/>
          <w:pgNumType w:fmt="decimal"/>
          <w:cols w:space="720" w:num="1"/>
        </w:sectPr>
      </w:pPr>
      <w:r>
        <w:rPr>
          <w:rFonts w:ascii="宋体" w:hAnsi="宋体" w:eastAsia="宋体" w:cs="宋体"/>
          <w:b/>
          <w:bCs/>
          <w:color w:val="auto"/>
          <w:spacing w:val="-10"/>
          <w:sz w:val="35"/>
          <w:szCs w:val="35"/>
          <w:highlight w:val="none"/>
        </w:rPr>
        <w:t>签订地点</w:t>
      </w:r>
      <w:r>
        <w:rPr>
          <w:rFonts w:hint="eastAsia" w:ascii="宋体" w:hAnsi="宋体" w:eastAsia="宋体" w:cs="宋体"/>
          <w:b/>
          <w:bCs/>
          <w:color w:val="auto"/>
          <w:spacing w:val="-10"/>
          <w:sz w:val="35"/>
          <w:szCs w:val="35"/>
          <w:highlight w:val="none"/>
          <w:lang w:eastAsia="zh-CN"/>
        </w:rPr>
        <w:t>：</w:t>
      </w:r>
    </w:p>
    <w:p w14:paraId="7DA874BF">
      <w:pPr>
        <w:keepNext w:val="0"/>
        <w:keepLines w:val="0"/>
        <w:pageBreakBefore w:val="0"/>
        <w:widowControl/>
        <w:kinsoku w:val="0"/>
        <w:wordWrap/>
        <w:overflowPunct/>
        <w:topLinePunct w:val="0"/>
        <w:autoSpaceDE w:val="0"/>
        <w:autoSpaceDN w:val="0"/>
        <w:bidi w:val="0"/>
        <w:adjustRightInd w:val="0"/>
        <w:snapToGrid w:val="0"/>
        <w:spacing w:line="560" w:lineRule="exact"/>
        <w:ind w:right="0"/>
        <w:jc w:val="center"/>
        <w:textAlignment w:val="baseline"/>
        <w:rPr>
          <w:rFonts w:hint="eastAsia" w:ascii="方正小标宋简体" w:hAnsi="方正小标宋简体" w:eastAsia="方正小标宋简体" w:cs="方正小标宋简体"/>
          <w:b/>
          <w:bCs/>
          <w:color w:val="auto"/>
          <w:spacing w:val="5"/>
          <w:position w:val="3"/>
          <w:sz w:val="36"/>
          <w:szCs w:val="36"/>
          <w:highlight w:val="none"/>
          <w:lang w:eastAsia="zh-CN"/>
        </w:rPr>
      </w:pPr>
      <w:r>
        <w:rPr>
          <w:rFonts w:hint="eastAsia" w:ascii="方正小标宋简体" w:hAnsi="方正小标宋简体" w:eastAsia="方正小标宋简体" w:cs="方正小标宋简体"/>
          <w:b/>
          <w:bCs/>
          <w:color w:val="auto"/>
          <w:spacing w:val="5"/>
          <w:position w:val="3"/>
          <w:sz w:val="36"/>
          <w:szCs w:val="36"/>
          <w:highlight w:val="none"/>
          <w:lang w:eastAsia="zh-CN"/>
        </w:rPr>
        <w:t>河池市宜州区北山镇规模化供水工程项目管网配套设施</w:t>
      </w:r>
    </w:p>
    <w:p w14:paraId="6A6F5A58">
      <w:pPr>
        <w:keepNext w:val="0"/>
        <w:keepLines w:val="0"/>
        <w:pageBreakBefore w:val="0"/>
        <w:widowControl/>
        <w:kinsoku w:val="0"/>
        <w:wordWrap/>
        <w:overflowPunct/>
        <w:topLinePunct w:val="0"/>
        <w:autoSpaceDE w:val="0"/>
        <w:autoSpaceDN w:val="0"/>
        <w:bidi w:val="0"/>
        <w:adjustRightInd w:val="0"/>
        <w:snapToGrid w:val="0"/>
        <w:spacing w:line="560" w:lineRule="exact"/>
        <w:ind w:right="0"/>
        <w:jc w:val="center"/>
        <w:textAlignment w:val="baseline"/>
        <w:rPr>
          <w:rFonts w:hint="eastAsia" w:ascii="仿宋_GB2312" w:hAnsi="仿宋_GB2312" w:eastAsia="方正小标宋简体" w:cs="仿宋_GB2312"/>
          <w:color w:val="auto"/>
          <w:spacing w:val="-3"/>
          <w:sz w:val="36"/>
          <w:szCs w:val="36"/>
          <w:highlight w:val="none"/>
          <w:lang w:val="en-US" w:eastAsia="zh-CN"/>
        </w:rPr>
      </w:pPr>
      <w:r>
        <w:rPr>
          <w:rFonts w:hint="eastAsia" w:ascii="方正小标宋简体" w:hAnsi="方正小标宋简体" w:eastAsia="方正小标宋简体" w:cs="方正小标宋简体"/>
          <w:b/>
          <w:bCs/>
          <w:color w:val="auto"/>
          <w:spacing w:val="5"/>
          <w:position w:val="3"/>
          <w:sz w:val="36"/>
          <w:szCs w:val="36"/>
          <w:highlight w:val="none"/>
          <w:lang w:eastAsia="zh-CN"/>
        </w:rPr>
        <w:t>工程北山社区</w:t>
      </w:r>
      <w:r>
        <w:rPr>
          <w:rFonts w:hint="eastAsia" w:ascii="方正小标宋简体" w:hAnsi="方正小标宋简体" w:eastAsia="方正小标宋简体" w:cs="方正小标宋简体"/>
          <w:b/>
          <w:bCs/>
          <w:color w:val="auto"/>
          <w:spacing w:val="5"/>
          <w:position w:val="3"/>
          <w:sz w:val="36"/>
          <w:szCs w:val="36"/>
          <w:highlight w:val="none"/>
        </w:rPr>
        <w:t>管网漏水检测</w:t>
      </w:r>
      <w:r>
        <w:rPr>
          <w:rFonts w:hint="eastAsia" w:ascii="方正小标宋简体" w:hAnsi="方正小标宋简体" w:eastAsia="方正小标宋简体" w:cs="方正小标宋简体"/>
          <w:b/>
          <w:bCs/>
          <w:color w:val="auto"/>
          <w:spacing w:val="5"/>
          <w:position w:val="3"/>
          <w:sz w:val="36"/>
          <w:szCs w:val="36"/>
          <w:highlight w:val="none"/>
          <w:lang w:val="en-US" w:eastAsia="zh-CN"/>
        </w:rPr>
        <w:t>协议书</w:t>
      </w:r>
    </w:p>
    <w:p w14:paraId="1342B323">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628" w:firstLineChars="200"/>
        <w:jc w:val="both"/>
        <w:textAlignment w:val="baseline"/>
        <w:rPr>
          <w:rFonts w:hint="eastAsia" w:ascii="仿宋_GB2312" w:hAnsi="仿宋_GB2312" w:eastAsia="仿宋_GB2312" w:cs="仿宋_GB2312"/>
          <w:color w:val="auto"/>
          <w:spacing w:val="-3"/>
          <w:sz w:val="32"/>
          <w:szCs w:val="32"/>
          <w:highlight w:val="none"/>
        </w:rPr>
      </w:pPr>
    </w:p>
    <w:p w14:paraId="4DCBCF93">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根据《中华人民共和国民法典》《城镇供水管网漏损控制及评定标准》（CJJ92-2016）等相关法律法规及行业标准，双方本着“平等自愿、互惠共赢、诚信履约”的原则，就甲方委托乙方开展供水管网漏水检测</w:t>
      </w:r>
      <w:r>
        <w:rPr>
          <w:rFonts w:hint="eastAsia" w:ascii="仿宋_GB2312" w:hAnsi="仿宋_GB2312" w:eastAsia="仿宋_GB2312" w:cs="仿宋_GB2312"/>
          <w:b w:val="0"/>
          <w:bCs w:val="0"/>
          <w:color w:val="auto"/>
          <w:spacing w:val="-3"/>
          <w:sz w:val="30"/>
          <w:szCs w:val="30"/>
          <w:highlight w:val="none"/>
        </w:rPr>
        <w:t>服务及后期技术服务</w:t>
      </w:r>
      <w:r>
        <w:rPr>
          <w:rFonts w:hint="eastAsia" w:ascii="仿宋_GB2312" w:hAnsi="仿宋_GB2312" w:eastAsia="仿宋_GB2312" w:cs="仿宋_GB2312"/>
          <w:color w:val="auto"/>
          <w:spacing w:val="-3"/>
          <w:sz w:val="30"/>
          <w:szCs w:val="30"/>
          <w:highlight w:val="none"/>
        </w:rPr>
        <w:t>事宜，经协商一致达成以下条款，以资</w:t>
      </w:r>
      <w:r>
        <w:rPr>
          <w:rFonts w:hint="eastAsia" w:ascii="仿宋_GB2312" w:hAnsi="仿宋_GB2312" w:eastAsia="仿宋_GB2312" w:cs="仿宋_GB2312"/>
          <w:color w:val="auto"/>
          <w:spacing w:val="-3"/>
          <w:sz w:val="30"/>
          <w:szCs w:val="30"/>
          <w:highlight w:val="none"/>
          <w:lang w:eastAsia="zh-CN"/>
        </w:rPr>
        <w:t>共同</w:t>
      </w:r>
      <w:r>
        <w:rPr>
          <w:rFonts w:hint="eastAsia" w:ascii="仿宋_GB2312" w:hAnsi="仿宋_GB2312" w:eastAsia="仿宋_GB2312" w:cs="仿宋_GB2312"/>
          <w:color w:val="auto"/>
          <w:spacing w:val="-3"/>
          <w:sz w:val="30"/>
          <w:szCs w:val="30"/>
          <w:highlight w:val="none"/>
        </w:rPr>
        <w:t>信守。</w:t>
      </w:r>
    </w:p>
    <w:p w14:paraId="24D48F00">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90" w:firstLineChars="200"/>
        <w:jc w:val="both"/>
        <w:textAlignment w:val="baseline"/>
        <w:rPr>
          <w:rFonts w:hint="eastAsia" w:ascii="仿宋_GB2312" w:hAnsi="仿宋_GB2312" w:eastAsia="仿宋_GB2312" w:cs="仿宋_GB2312"/>
          <w:b/>
          <w:bCs/>
          <w:color w:val="auto"/>
          <w:spacing w:val="-3"/>
          <w:sz w:val="30"/>
          <w:szCs w:val="30"/>
          <w:highlight w:val="none"/>
        </w:rPr>
      </w:pPr>
      <w:r>
        <w:rPr>
          <w:rFonts w:hint="eastAsia" w:ascii="仿宋_GB2312" w:hAnsi="仿宋_GB2312" w:eastAsia="仿宋_GB2312" w:cs="仿宋_GB2312"/>
          <w:b/>
          <w:bCs/>
          <w:color w:val="auto"/>
          <w:spacing w:val="-3"/>
          <w:sz w:val="30"/>
          <w:szCs w:val="30"/>
          <w:highlight w:val="none"/>
        </w:rPr>
        <w:t>第一条合同目的与依据</w:t>
      </w:r>
    </w:p>
    <w:p w14:paraId="65490C53">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eastAsia="zh-CN"/>
        </w:rPr>
      </w:pPr>
      <w:r>
        <w:rPr>
          <w:rFonts w:hint="eastAsia" w:ascii="仿宋_GB2312" w:hAnsi="仿宋_GB2312" w:eastAsia="仿宋_GB2312" w:cs="仿宋_GB2312"/>
          <w:color w:val="auto"/>
          <w:spacing w:val="-3"/>
          <w:sz w:val="30"/>
          <w:szCs w:val="30"/>
          <w:highlight w:val="none"/>
        </w:rPr>
        <w:t>1.1目的：甲方为解决指定区域供水管网泄漏问题，降低管网漏损率，减少水资源浪费及因漏水</w:t>
      </w:r>
      <w:r>
        <w:rPr>
          <w:rFonts w:hint="eastAsia" w:ascii="仿宋_GB2312" w:hAnsi="仿宋_GB2312" w:eastAsia="仿宋_GB2312" w:cs="仿宋_GB2312"/>
          <w:color w:val="auto"/>
          <w:spacing w:val="-3"/>
          <w:sz w:val="30"/>
          <w:szCs w:val="30"/>
          <w:highlight w:val="none"/>
          <w:lang w:eastAsia="zh-CN"/>
        </w:rPr>
        <w:t>造成</w:t>
      </w:r>
      <w:r>
        <w:rPr>
          <w:rFonts w:hint="eastAsia" w:ascii="仿宋_GB2312" w:hAnsi="仿宋_GB2312" w:eastAsia="仿宋_GB2312" w:cs="仿宋_GB2312"/>
          <w:color w:val="auto"/>
          <w:spacing w:val="-3"/>
          <w:sz w:val="30"/>
          <w:szCs w:val="30"/>
          <w:highlight w:val="none"/>
        </w:rPr>
        <w:t>的经济损失，委托乙方提供专业</w:t>
      </w:r>
      <w:r>
        <w:rPr>
          <w:rFonts w:hint="eastAsia" w:ascii="仿宋_GB2312" w:hAnsi="仿宋_GB2312" w:eastAsia="仿宋_GB2312" w:cs="仿宋_GB2312"/>
          <w:color w:val="auto"/>
          <w:spacing w:val="-3"/>
          <w:sz w:val="30"/>
          <w:szCs w:val="30"/>
          <w:highlight w:val="none"/>
          <w:lang w:val="en-US" w:eastAsia="zh-CN"/>
        </w:rPr>
        <w:t>管网</w:t>
      </w:r>
      <w:r>
        <w:rPr>
          <w:rFonts w:hint="eastAsia" w:ascii="仿宋_GB2312" w:hAnsi="仿宋_GB2312" w:eastAsia="仿宋_GB2312" w:cs="仿宋_GB2312"/>
          <w:color w:val="auto"/>
          <w:spacing w:val="-3"/>
          <w:sz w:val="30"/>
          <w:szCs w:val="30"/>
          <w:highlight w:val="none"/>
        </w:rPr>
        <w:t>漏水</w:t>
      </w:r>
      <w:r>
        <w:rPr>
          <w:rFonts w:hint="eastAsia" w:ascii="仿宋_GB2312" w:hAnsi="仿宋_GB2312" w:eastAsia="仿宋_GB2312" w:cs="仿宋_GB2312"/>
          <w:color w:val="auto"/>
          <w:spacing w:val="-3"/>
          <w:sz w:val="30"/>
          <w:szCs w:val="30"/>
          <w:highlight w:val="none"/>
          <w:lang w:val="en-US" w:eastAsia="zh-CN"/>
        </w:rPr>
        <w:t>点</w:t>
      </w:r>
      <w:r>
        <w:rPr>
          <w:rFonts w:hint="eastAsia" w:ascii="仿宋_GB2312" w:hAnsi="仿宋_GB2312" w:eastAsia="仿宋_GB2312" w:cs="仿宋_GB2312"/>
          <w:color w:val="auto"/>
          <w:spacing w:val="-3"/>
          <w:sz w:val="30"/>
          <w:szCs w:val="30"/>
          <w:highlight w:val="none"/>
        </w:rPr>
        <w:t>检测服务</w:t>
      </w:r>
      <w:r>
        <w:rPr>
          <w:rFonts w:hint="eastAsia" w:ascii="仿宋_GB2312" w:hAnsi="仿宋_GB2312" w:eastAsia="仿宋_GB2312" w:cs="仿宋_GB2312"/>
          <w:b w:val="0"/>
          <w:bCs w:val="0"/>
          <w:color w:val="auto"/>
          <w:spacing w:val="-3"/>
          <w:sz w:val="30"/>
          <w:szCs w:val="30"/>
          <w:highlight w:val="none"/>
        </w:rPr>
        <w:t>及后期技术服务</w:t>
      </w:r>
      <w:r>
        <w:rPr>
          <w:rFonts w:hint="eastAsia" w:ascii="仿宋_GB2312" w:hAnsi="仿宋_GB2312" w:eastAsia="仿宋_GB2312" w:cs="仿宋_GB2312"/>
          <w:color w:val="auto"/>
          <w:spacing w:val="-3"/>
          <w:sz w:val="30"/>
          <w:szCs w:val="30"/>
          <w:highlight w:val="none"/>
          <w:lang w:eastAsia="zh-CN"/>
        </w:rPr>
        <w:t>；</w:t>
      </w:r>
    </w:p>
    <w:p w14:paraId="4A4DB379">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1.2依据：本合同履行需符合国家及项目所在地关于供水管网运行、安全生产、环境保护等相关规定，乙方检测技术需满足行业现行有效标准。</w:t>
      </w:r>
    </w:p>
    <w:p w14:paraId="452959B4">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90" w:firstLineChars="200"/>
        <w:jc w:val="both"/>
        <w:textAlignment w:val="baseline"/>
        <w:rPr>
          <w:rFonts w:hint="eastAsia" w:ascii="仿宋_GB2312" w:hAnsi="仿宋_GB2312" w:eastAsia="仿宋_GB2312" w:cs="仿宋_GB2312"/>
          <w:b/>
          <w:bCs/>
          <w:color w:val="auto"/>
          <w:spacing w:val="-3"/>
          <w:sz w:val="30"/>
          <w:szCs w:val="30"/>
          <w:highlight w:val="none"/>
        </w:rPr>
      </w:pPr>
      <w:r>
        <w:rPr>
          <w:rFonts w:hint="eastAsia" w:ascii="仿宋_GB2312" w:hAnsi="仿宋_GB2312" w:eastAsia="仿宋_GB2312" w:cs="仿宋_GB2312"/>
          <w:b/>
          <w:bCs/>
          <w:color w:val="auto"/>
          <w:spacing w:val="-3"/>
          <w:sz w:val="30"/>
          <w:szCs w:val="30"/>
          <w:highlight w:val="none"/>
        </w:rPr>
        <w:t>第二条 检测</w:t>
      </w:r>
      <w:r>
        <w:rPr>
          <w:rFonts w:hint="eastAsia" w:ascii="仿宋_GB2312" w:hAnsi="仿宋_GB2312" w:eastAsia="仿宋_GB2312" w:cs="仿宋_GB2312"/>
          <w:b/>
          <w:bCs/>
          <w:color w:val="auto"/>
          <w:spacing w:val="-3"/>
          <w:sz w:val="30"/>
          <w:szCs w:val="30"/>
          <w:highlight w:val="none"/>
          <w:lang w:eastAsia="zh-CN"/>
        </w:rPr>
        <w:t>服务</w:t>
      </w:r>
      <w:r>
        <w:rPr>
          <w:rFonts w:hint="eastAsia" w:ascii="仿宋_GB2312" w:hAnsi="仿宋_GB2312" w:eastAsia="仿宋_GB2312" w:cs="仿宋_GB2312"/>
          <w:b/>
          <w:bCs/>
          <w:color w:val="auto"/>
          <w:spacing w:val="-3"/>
          <w:sz w:val="30"/>
          <w:szCs w:val="30"/>
          <w:highlight w:val="none"/>
        </w:rPr>
        <w:t>范围与内容</w:t>
      </w:r>
    </w:p>
    <w:p w14:paraId="232E9D28">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eastAsia="zh-CN"/>
        </w:rPr>
      </w:pPr>
      <w:r>
        <w:rPr>
          <w:rFonts w:hint="eastAsia" w:ascii="仿宋_GB2312" w:hAnsi="仿宋_GB2312" w:eastAsia="仿宋_GB2312" w:cs="仿宋_GB2312"/>
          <w:color w:val="auto"/>
          <w:spacing w:val="-3"/>
          <w:sz w:val="30"/>
          <w:szCs w:val="30"/>
          <w:highlight w:val="none"/>
        </w:rPr>
        <w:t>2.1检测范围：甲方指定的</w:t>
      </w:r>
      <w:r>
        <w:rPr>
          <w:rFonts w:hint="eastAsia" w:ascii="仿宋_GB2312" w:hAnsi="仿宋_GB2312" w:eastAsia="仿宋_GB2312" w:cs="仿宋_GB2312"/>
          <w:color w:val="auto"/>
          <w:spacing w:val="-3"/>
          <w:sz w:val="30"/>
          <w:szCs w:val="30"/>
          <w:highlight w:val="none"/>
          <w:u w:val="single"/>
          <w:lang w:val="en-US" w:eastAsia="zh-CN"/>
        </w:rPr>
        <w:t>宜州区北山镇</w:t>
      </w:r>
      <w:r>
        <w:rPr>
          <w:rFonts w:hint="eastAsia" w:ascii="仿宋_GB2312" w:hAnsi="仿宋_GB2312" w:eastAsia="仿宋_GB2312" w:cs="仿宋_GB2312"/>
          <w:color w:val="auto"/>
          <w:spacing w:val="-3"/>
          <w:sz w:val="30"/>
          <w:szCs w:val="30"/>
          <w:highlight w:val="none"/>
        </w:rPr>
        <w:t>区域内供水管网，总长度</w:t>
      </w:r>
      <w:r>
        <w:rPr>
          <w:rFonts w:hint="eastAsia" w:ascii="仿宋_GB2312" w:hAnsi="仿宋_GB2312" w:eastAsia="仿宋_GB2312" w:cs="仿宋_GB2312"/>
          <w:color w:val="auto"/>
          <w:spacing w:val="-3"/>
          <w:sz w:val="30"/>
          <w:szCs w:val="30"/>
          <w:highlight w:val="none"/>
          <w:lang w:eastAsia="zh-CN"/>
        </w:rPr>
        <w:t>约</w:t>
      </w:r>
      <w:r>
        <w:rPr>
          <w:rFonts w:hint="eastAsia" w:ascii="仿宋_GB2312" w:hAnsi="仿宋_GB2312" w:eastAsia="仿宋_GB2312" w:cs="仿宋_GB2312"/>
          <w:color w:val="auto"/>
          <w:spacing w:val="-3"/>
          <w:sz w:val="30"/>
          <w:szCs w:val="30"/>
          <w:highlight w:val="none"/>
        </w:rPr>
        <w:t>15公里</w:t>
      </w:r>
      <w:r>
        <w:rPr>
          <w:rFonts w:hint="eastAsia" w:ascii="仿宋_GB2312" w:hAnsi="仿宋_GB2312" w:eastAsia="仿宋_GB2312" w:cs="仿宋_GB2312"/>
          <w:color w:val="auto"/>
          <w:spacing w:val="-3"/>
          <w:sz w:val="30"/>
          <w:szCs w:val="30"/>
          <w:highlight w:val="none"/>
          <w:lang w:eastAsia="zh-CN"/>
        </w:rPr>
        <w:t>；</w:t>
      </w:r>
    </w:p>
    <w:p w14:paraId="785759BE">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2.2 检测内容：</w:t>
      </w:r>
    </w:p>
    <w:p w14:paraId="39E7A3EB">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（1）对指定管网进行全面普查，识别漏水异常区域；</w:t>
      </w:r>
    </w:p>
    <w:p w14:paraId="2D24C4BC">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（2）定位漏水点准确位置</w:t>
      </w:r>
      <w:r>
        <w:rPr>
          <w:rFonts w:hint="eastAsia" w:ascii="仿宋_GB2312" w:hAnsi="仿宋_GB2312" w:eastAsia="仿宋_GB2312" w:cs="仿宋_GB2312"/>
          <w:color w:val="auto"/>
          <w:spacing w:val="-3"/>
          <w:sz w:val="30"/>
          <w:szCs w:val="30"/>
          <w:highlight w:val="none"/>
          <w:lang w:eastAsia="zh-CN"/>
        </w:rPr>
        <w:t>（</w:t>
      </w:r>
      <w:r>
        <w:rPr>
          <w:rFonts w:hint="eastAsia" w:ascii="仿宋_GB2312" w:hAnsi="仿宋_GB2312" w:eastAsia="仿宋_GB2312" w:cs="仿宋_GB2312"/>
          <w:color w:val="auto"/>
          <w:spacing w:val="-3"/>
          <w:sz w:val="30"/>
          <w:szCs w:val="30"/>
          <w:highlight w:val="none"/>
          <w:lang w:val="en-US" w:eastAsia="zh-CN"/>
        </w:rPr>
        <w:t>即</w:t>
      </w:r>
      <w:r>
        <w:rPr>
          <w:rFonts w:hint="eastAsia" w:ascii="仿宋_GB2312" w:hAnsi="仿宋_GB2312" w:eastAsia="仿宋_GB2312" w:cs="仿宋_GB2312"/>
          <w:color w:val="auto"/>
          <w:spacing w:val="-3"/>
          <w:sz w:val="30"/>
          <w:szCs w:val="30"/>
          <w:highlight w:val="none"/>
        </w:rPr>
        <w:t>需明确至地面投影坐标</w:t>
      </w:r>
      <w:r>
        <w:rPr>
          <w:rFonts w:hint="eastAsia" w:ascii="仿宋_GB2312" w:hAnsi="仿宋_GB2312" w:eastAsia="仿宋_GB2312" w:cs="仿宋_GB2312"/>
          <w:color w:val="auto"/>
          <w:spacing w:val="-3"/>
          <w:sz w:val="30"/>
          <w:szCs w:val="30"/>
          <w:highlight w:val="none"/>
          <w:lang w:eastAsia="zh-CN"/>
        </w:rPr>
        <w:t>）</w:t>
      </w:r>
      <w:r>
        <w:rPr>
          <w:rFonts w:hint="eastAsia" w:ascii="仿宋_GB2312" w:hAnsi="仿宋_GB2312" w:eastAsia="仿宋_GB2312" w:cs="仿宋_GB2312"/>
          <w:color w:val="auto"/>
          <w:spacing w:val="-3"/>
          <w:sz w:val="30"/>
          <w:szCs w:val="30"/>
          <w:highlight w:val="none"/>
        </w:rPr>
        <w:t>；</w:t>
      </w:r>
    </w:p>
    <w:p w14:paraId="5A11C59D">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eastAsia="zh-CN"/>
        </w:rPr>
      </w:pPr>
      <w:r>
        <w:rPr>
          <w:rFonts w:hint="eastAsia" w:ascii="仿宋_GB2312" w:hAnsi="仿宋_GB2312" w:eastAsia="仿宋_GB2312" w:cs="仿宋_GB2312"/>
          <w:color w:val="auto"/>
          <w:spacing w:val="-3"/>
          <w:sz w:val="30"/>
          <w:szCs w:val="30"/>
          <w:highlight w:val="none"/>
        </w:rPr>
        <w:t>（3）分析漏水原因</w:t>
      </w:r>
      <w:r>
        <w:rPr>
          <w:rFonts w:hint="eastAsia" w:ascii="仿宋_GB2312" w:hAnsi="仿宋_GB2312" w:eastAsia="仿宋_GB2312" w:cs="仿宋_GB2312"/>
          <w:color w:val="auto"/>
          <w:spacing w:val="-3"/>
          <w:sz w:val="30"/>
          <w:szCs w:val="30"/>
          <w:highlight w:val="none"/>
          <w:lang w:val="en-US" w:eastAsia="zh-CN"/>
        </w:rPr>
        <w:t>及</w:t>
      </w:r>
      <w:r>
        <w:rPr>
          <w:rFonts w:hint="eastAsia" w:ascii="仿宋_GB2312" w:hAnsi="仿宋_GB2312" w:eastAsia="仿宋_GB2312" w:cs="仿宋_GB2312"/>
          <w:color w:val="auto"/>
          <w:spacing w:val="-3"/>
          <w:sz w:val="30"/>
          <w:szCs w:val="30"/>
          <w:highlight w:val="none"/>
        </w:rPr>
        <w:t>漏损控制建议（如管道老化、接口松动、外力破坏等）</w:t>
      </w:r>
      <w:r>
        <w:rPr>
          <w:rFonts w:hint="eastAsia" w:ascii="仿宋_GB2312" w:hAnsi="仿宋_GB2312" w:eastAsia="仿宋_GB2312" w:cs="仿宋_GB2312"/>
          <w:color w:val="auto"/>
          <w:spacing w:val="-3"/>
          <w:sz w:val="30"/>
          <w:szCs w:val="30"/>
          <w:highlight w:val="none"/>
          <w:lang w:eastAsia="zh-CN"/>
        </w:rPr>
        <w:t>。</w:t>
      </w:r>
    </w:p>
    <w:p w14:paraId="4F1293B4">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90" w:firstLineChars="200"/>
        <w:jc w:val="both"/>
        <w:textAlignment w:val="baseline"/>
        <w:rPr>
          <w:rFonts w:hint="eastAsia" w:ascii="仿宋_GB2312" w:hAnsi="仿宋_GB2312" w:eastAsia="仿宋_GB2312" w:cs="仿宋_GB2312"/>
          <w:b/>
          <w:bCs/>
          <w:color w:val="auto"/>
          <w:spacing w:val="-3"/>
          <w:sz w:val="30"/>
          <w:szCs w:val="30"/>
          <w:highlight w:val="none"/>
        </w:rPr>
      </w:pPr>
      <w:r>
        <w:rPr>
          <w:rFonts w:hint="eastAsia" w:ascii="仿宋_GB2312" w:hAnsi="仿宋_GB2312" w:eastAsia="仿宋_GB2312" w:cs="仿宋_GB2312"/>
          <w:b/>
          <w:bCs/>
          <w:color w:val="auto"/>
          <w:spacing w:val="-3"/>
          <w:sz w:val="30"/>
          <w:szCs w:val="30"/>
          <w:highlight w:val="none"/>
        </w:rPr>
        <w:t>第三条 检测技术要求与标准</w:t>
      </w:r>
    </w:p>
    <w:p w14:paraId="6F6FE834">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3.1 甲方技术配合要求：</w:t>
      </w:r>
    </w:p>
    <w:p w14:paraId="49877D49">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（1）合同签订后</w:t>
      </w:r>
      <w:r>
        <w:rPr>
          <w:rFonts w:hint="eastAsia" w:ascii="仿宋_GB2312" w:hAnsi="仿宋_GB2312" w:eastAsia="仿宋_GB2312" w:cs="仿宋_GB2312"/>
          <w:color w:val="auto"/>
          <w:spacing w:val="-3"/>
          <w:sz w:val="30"/>
          <w:szCs w:val="30"/>
          <w:highlight w:val="none"/>
          <w:lang w:val="en-US" w:eastAsia="zh-CN"/>
        </w:rPr>
        <w:t>3</w:t>
      </w:r>
      <w:r>
        <w:rPr>
          <w:rFonts w:hint="eastAsia" w:ascii="仿宋_GB2312" w:hAnsi="仿宋_GB2312" w:eastAsia="仿宋_GB2312" w:cs="仿宋_GB2312"/>
          <w:color w:val="auto"/>
          <w:spacing w:val="-3"/>
          <w:sz w:val="30"/>
          <w:szCs w:val="30"/>
          <w:highlight w:val="none"/>
        </w:rPr>
        <w:t>个工作日内，向乙方提供检测范围内</w:t>
      </w:r>
      <w:r>
        <w:rPr>
          <w:rFonts w:hint="eastAsia" w:ascii="仿宋_GB2312" w:hAnsi="仿宋_GB2312" w:eastAsia="仿宋_GB2312" w:cs="仿宋_GB2312"/>
          <w:color w:val="auto"/>
          <w:spacing w:val="-3"/>
          <w:sz w:val="30"/>
          <w:szCs w:val="30"/>
          <w:highlight w:val="none"/>
          <w:lang w:eastAsia="zh-CN"/>
        </w:rPr>
        <w:t>的</w:t>
      </w:r>
      <w:r>
        <w:rPr>
          <w:rFonts w:hint="eastAsia" w:ascii="仿宋_GB2312" w:hAnsi="仿宋_GB2312" w:eastAsia="仿宋_GB2312" w:cs="仿宋_GB2312"/>
          <w:color w:val="auto"/>
          <w:spacing w:val="-3"/>
          <w:sz w:val="30"/>
          <w:szCs w:val="30"/>
          <w:highlight w:val="none"/>
        </w:rPr>
        <w:t>管网资料，包括但不限于：管径规格、阀门位置；</w:t>
      </w:r>
    </w:p>
    <w:p w14:paraId="0787F548">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（2）指派</w:t>
      </w:r>
      <w:r>
        <w:rPr>
          <w:rFonts w:hint="eastAsia" w:ascii="仿宋_GB2312" w:hAnsi="仿宋_GB2312" w:eastAsia="仿宋_GB2312" w:cs="仿宋_GB2312"/>
          <w:color w:val="auto"/>
          <w:spacing w:val="-3"/>
          <w:sz w:val="30"/>
          <w:szCs w:val="30"/>
          <w:highlight w:val="none"/>
          <w:lang w:val="en-US" w:eastAsia="zh-CN"/>
        </w:rPr>
        <w:t>1</w:t>
      </w:r>
      <w:r>
        <w:rPr>
          <w:rFonts w:hint="eastAsia" w:ascii="仿宋_GB2312" w:hAnsi="仿宋_GB2312" w:eastAsia="仿宋_GB2312" w:cs="仿宋_GB2312"/>
          <w:color w:val="auto"/>
          <w:spacing w:val="-3"/>
          <w:sz w:val="30"/>
          <w:szCs w:val="30"/>
          <w:highlight w:val="none"/>
        </w:rPr>
        <w:t>名熟悉管网情况的技术人员</w:t>
      </w:r>
      <w:r>
        <w:rPr>
          <w:rFonts w:hint="eastAsia" w:ascii="仿宋_GB2312" w:hAnsi="仿宋_GB2312" w:eastAsia="仿宋_GB2312" w:cs="仿宋_GB2312"/>
          <w:color w:val="auto"/>
          <w:spacing w:val="-3"/>
          <w:sz w:val="30"/>
          <w:szCs w:val="30"/>
          <w:highlight w:val="none"/>
          <w:lang w:eastAsia="zh-CN"/>
        </w:rPr>
        <w:t>给予</w:t>
      </w:r>
      <w:r>
        <w:rPr>
          <w:rFonts w:hint="eastAsia" w:ascii="仿宋_GB2312" w:hAnsi="仿宋_GB2312" w:eastAsia="仿宋_GB2312" w:cs="仿宋_GB2312"/>
          <w:color w:val="auto"/>
          <w:spacing w:val="-3"/>
          <w:sz w:val="30"/>
          <w:szCs w:val="30"/>
          <w:highlight w:val="none"/>
        </w:rPr>
        <w:t>配合，协助乙方现场确认管线位置、协调停水（如需）；</w:t>
      </w:r>
    </w:p>
    <w:p w14:paraId="0FFF1DF8">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3.2 乙方技术执行标准：</w:t>
      </w:r>
    </w:p>
    <w:p w14:paraId="6E85534A">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（1）采用符合行业规范的检测技术（如听音法、声呐检测法、压力测试法等</w:t>
      </w:r>
      <w:r>
        <w:rPr>
          <w:rFonts w:hint="eastAsia" w:ascii="仿宋_GB2312" w:hAnsi="仿宋_GB2312" w:eastAsia="仿宋_GB2312" w:cs="仿宋_GB2312"/>
          <w:color w:val="auto"/>
          <w:spacing w:val="-3"/>
          <w:sz w:val="30"/>
          <w:szCs w:val="30"/>
          <w:highlight w:val="none"/>
          <w:lang w:eastAsia="zh-CN"/>
        </w:rPr>
        <w:t>）</w:t>
      </w:r>
      <w:r>
        <w:rPr>
          <w:rFonts w:hint="eastAsia" w:ascii="仿宋_GB2312" w:hAnsi="仿宋_GB2312" w:eastAsia="仿宋_GB2312" w:cs="仿宋_GB2312"/>
          <w:color w:val="auto"/>
          <w:spacing w:val="-3"/>
          <w:sz w:val="30"/>
          <w:szCs w:val="30"/>
          <w:highlight w:val="none"/>
        </w:rPr>
        <w:t>；</w:t>
      </w:r>
    </w:p>
    <w:p w14:paraId="4117CC16">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eastAsia="zh-CN"/>
        </w:rPr>
      </w:pPr>
      <w:r>
        <w:rPr>
          <w:rFonts w:hint="eastAsia" w:ascii="仿宋_GB2312" w:hAnsi="仿宋_GB2312" w:eastAsia="仿宋_GB2312" w:cs="仿宋_GB2312"/>
          <w:color w:val="auto"/>
          <w:spacing w:val="-3"/>
          <w:sz w:val="30"/>
          <w:szCs w:val="30"/>
          <w:highlight w:val="none"/>
        </w:rPr>
        <w:t>（2）漏点定位准确率≥90%</w:t>
      </w:r>
      <w:r>
        <w:rPr>
          <w:rFonts w:hint="eastAsia" w:ascii="仿宋_GB2312" w:hAnsi="仿宋_GB2312" w:eastAsia="仿宋_GB2312" w:cs="仿宋_GB2312"/>
          <w:color w:val="auto"/>
          <w:spacing w:val="-3"/>
          <w:sz w:val="30"/>
          <w:szCs w:val="30"/>
          <w:highlight w:val="none"/>
          <w:lang w:val="en-US" w:eastAsia="zh-CN"/>
        </w:rPr>
        <w:t>及</w:t>
      </w:r>
      <w:r>
        <w:rPr>
          <w:rFonts w:hint="eastAsia" w:ascii="仿宋_GB2312" w:hAnsi="仿宋_GB2312" w:eastAsia="仿宋_GB2312" w:cs="仿宋_GB2312"/>
          <w:color w:val="auto"/>
          <w:spacing w:val="-3"/>
          <w:sz w:val="30"/>
          <w:szCs w:val="30"/>
          <w:highlight w:val="none"/>
          <w:lang w:eastAsia="zh-CN"/>
        </w:rPr>
        <w:t>误差不超过±0.5米</w:t>
      </w:r>
      <w:r>
        <w:rPr>
          <w:rFonts w:hint="eastAsia" w:ascii="仿宋_GB2312" w:hAnsi="仿宋_GB2312" w:eastAsia="仿宋_GB2312" w:cs="仿宋_GB2312"/>
          <w:color w:val="auto"/>
          <w:spacing w:val="-3"/>
          <w:sz w:val="30"/>
          <w:szCs w:val="30"/>
          <w:highlight w:val="none"/>
        </w:rPr>
        <w:t>（以开挖验证结果为准，准确率=开挖确认漏点数/乙方检测漏点数×100%）</w:t>
      </w:r>
      <w:r>
        <w:rPr>
          <w:rFonts w:hint="eastAsia" w:ascii="仿宋_GB2312" w:hAnsi="仿宋_GB2312" w:eastAsia="仿宋_GB2312" w:cs="仿宋_GB2312"/>
          <w:color w:val="auto"/>
          <w:spacing w:val="-3"/>
          <w:sz w:val="30"/>
          <w:szCs w:val="30"/>
          <w:highlight w:val="none"/>
          <w:lang w:eastAsia="zh-CN"/>
        </w:rPr>
        <w:t>。</w:t>
      </w:r>
    </w:p>
    <w:p w14:paraId="6924CEFD">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90" w:firstLineChars="200"/>
        <w:jc w:val="both"/>
        <w:textAlignment w:val="baseline"/>
        <w:rPr>
          <w:rFonts w:hint="eastAsia" w:ascii="仿宋_GB2312" w:hAnsi="仿宋_GB2312" w:eastAsia="仿宋_GB2312" w:cs="仿宋_GB2312"/>
          <w:b/>
          <w:bCs/>
          <w:color w:val="auto"/>
          <w:spacing w:val="-3"/>
          <w:sz w:val="30"/>
          <w:szCs w:val="30"/>
          <w:highlight w:val="none"/>
        </w:rPr>
      </w:pPr>
      <w:r>
        <w:rPr>
          <w:rFonts w:hint="eastAsia" w:ascii="仿宋_GB2312" w:hAnsi="仿宋_GB2312" w:eastAsia="仿宋_GB2312" w:cs="仿宋_GB2312"/>
          <w:b/>
          <w:bCs/>
          <w:color w:val="auto"/>
          <w:spacing w:val="-3"/>
          <w:sz w:val="30"/>
          <w:szCs w:val="30"/>
          <w:highlight w:val="none"/>
        </w:rPr>
        <w:t>第四条 验收标准与流程</w:t>
      </w:r>
    </w:p>
    <w:p w14:paraId="722DCE1A">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4.1 验收核心标准：</w:t>
      </w:r>
    </w:p>
    <w:p w14:paraId="2611E2D5">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eastAsia="zh-CN"/>
        </w:rPr>
      </w:pPr>
      <w:r>
        <w:rPr>
          <w:rFonts w:hint="eastAsia" w:ascii="仿宋_GB2312" w:hAnsi="仿宋_GB2312" w:eastAsia="仿宋_GB2312" w:cs="仿宋_GB2312"/>
          <w:color w:val="auto"/>
          <w:spacing w:val="-3"/>
          <w:sz w:val="30"/>
          <w:szCs w:val="30"/>
          <w:highlight w:val="none"/>
        </w:rPr>
        <w:t>（1）漏点数量：以双方共同开挖验证的漏点数量为准，同一开挖范围内（直径≤</w:t>
      </w:r>
      <w:r>
        <w:rPr>
          <w:rFonts w:hint="eastAsia" w:ascii="仿宋_GB2312" w:hAnsi="仿宋_GB2312" w:eastAsia="仿宋_GB2312" w:cs="仿宋_GB2312"/>
          <w:color w:val="auto"/>
          <w:spacing w:val="-3"/>
          <w:sz w:val="30"/>
          <w:szCs w:val="30"/>
          <w:highlight w:val="none"/>
          <w:lang w:val="en-US" w:eastAsia="zh-CN"/>
        </w:rPr>
        <w:t>1</w:t>
      </w:r>
      <w:r>
        <w:rPr>
          <w:rFonts w:hint="eastAsia" w:ascii="仿宋_GB2312" w:hAnsi="仿宋_GB2312" w:eastAsia="仿宋_GB2312" w:cs="仿宋_GB2312"/>
          <w:color w:val="auto"/>
          <w:spacing w:val="-3"/>
          <w:sz w:val="30"/>
          <w:szCs w:val="30"/>
          <w:highlight w:val="none"/>
        </w:rPr>
        <w:t>米）的多个漏点按</w:t>
      </w:r>
      <w:r>
        <w:rPr>
          <w:rFonts w:hint="eastAsia" w:ascii="仿宋_GB2312" w:hAnsi="仿宋_GB2312" w:eastAsia="仿宋_GB2312" w:cs="仿宋_GB2312"/>
          <w:color w:val="auto"/>
          <w:spacing w:val="-3"/>
          <w:sz w:val="30"/>
          <w:szCs w:val="30"/>
          <w:highlight w:val="none"/>
          <w:lang w:val="en-US" w:eastAsia="zh-CN"/>
        </w:rPr>
        <w:t>1</w:t>
      </w:r>
      <w:r>
        <w:rPr>
          <w:rFonts w:hint="eastAsia" w:ascii="仿宋_GB2312" w:hAnsi="仿宋_GB2312" w:eastAsia="仿宋_GB2312" w:cs="仿宋_GB2312"/>
          <w:color w:val="auto"/>
          <w:spacing w:val="-3"/>
          <w:sz w:val="30"/>
          <w:szCs w:val="30"/>
          <w:highlight w:val="none"/>
        </w:rPr>
        <w:t>个计算；开挖后确认无漏点的，不计入有效漏点</w:t>
      </w:r>
      <w:r>
        <w:rPr>
          <w:rFonts w:hint="eastAsia" w:ascii="仿宋_GB2312" w:hAnsi="仿宋_GB2312" w:eastAsia="仿宋_GB2312" w:cs="仿宋_GB2312"/>
          <w:color w:val="auto"/>
          <w:spacing w:val="-3"/>
          <w:sz w:val="30"/>
          <w:szCs w:val="30"/>
          <w:highlight w:val="none"/>
          <w:lang w:eastAsia="zh-CN"/>
        </w:rPr>
        <w:t>，并</w:t>
      </w:r>
      <w:r>
        <w:rPr>
          <w:rFonts w:hint="eastAsia" w:ascii="仿宋_GB2312" w:hAnsi="仿宋_GB2312" w:eastAsia="仿宋_GB2312" w:cs="仿宋_GB2312"/>
          <w:color w:val="auto"/>
          <w:spacing w:val="-3"/>
          <w:sz w:val="30"/>
          <w:szCs w:val="30"/>
          <w:highlight w:val="none"/>
        </w:rPr>
        <w:t>由乙方承担全部开挖及修复费用</w:t>
      </w:r>
      <w:r>
        <w:rPr>
          <w:rFonts w:hint="eastAsia" w:ascii="仿宋_GB2312" w:hAnsi="仿宋_GB2312" w:eastAsia="仿宋_GB2312" w:cs="仿宋_GB2312"/>
          <w:color w:val="auto"/>
          <w:spacing w:val="-3"/>
          <w:sz w:val="30"/>
          <w:szCs w:val="30"/>
          <w:highlight w:val="none"/>
          <w:lang w:eastAsia="zh-CN"/>
        </w:rPr>
        <w:t>；</w:t>
      </w:r>
    </w:p>
    <w:p w14:paraId="53117F96">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eastAsia="zh-CN"/>
        </w:rPr>
      </w:pPr>
      <w:r>
        <w:rPr>
          <w:rFonts w:hint="eastAsia" w:ascii="仿宋_GB2312" w:hAnsi="仿宋_GB2312" w:eastAsia="仿宋_GB2312" w:cs="仿宋_GB2312"/>
          <w:color w:val="auto"/>
          <w:spacing w:val="-3"/>
          <w:sz w:val="30"/>
          <w:szCs w:val="30"/>
          <w:highlight w:val="none"/>
        </w:rPr>
        <w:t>（2）漏点位置：乙方标注的漏点位置与实际漏水点地面投影</w:t>
      </w:r>
      <w:r>
        <w:rPr>
          <w:rFonts w:hint="eastAsia" w:ascii="仿宋_GB2312" w:hAnsi="仿宋_GB2312" w:eastAsia="仿宋_GB2312" w:cs="仿宋_GB2312"/>
          <w:color w:val="auto"/>
          <w:spacing w:val="-3"/>
          <w:sz w:val="30"/>
          <w:szCs w:val="30"/>
          <w:highlight w:val="none"/>
          <w:lang w:val="en-US" w:eastAsia="zh-CN"/>
        </w:rPr>
        <w:t>准确率</w:t>
      </w:r>
      <w:r>
        <w:rPr>
          <w:rFonts w:hint="eastAsia" w:ascii="仿宋_GB2312" w:hAnsi="仿宋_GB2312" w:eastAsia="仿宋_GB2312" w:cs="仿宋_GB2312"/>
          <w:color w:val="auto"/>
          <w:spacing w:val="-3"/>
          <w:sz w:val="30"/>
          <w:szCs w:val="30"/>
          <w:highlight w:val="none"/>
          <w:lang w:eastAsia="zh-CN"/>
        </w:rPr>
        <w:t>≥</w:t>
      </w:r>
      <w:r>
        <w:rPr>
          <w:rFonts w:hint="eastAsia" w:ascii="仿宋_GB2312" w:hAnsi="仿宋_GB2312" w:eastAsia="仿宋_GB2312" w:cs="仿宋_GB2312"/>
          <w:color w:val="auto"/>
          <w:spacing w:val="-3"/>
          <w:sz w:val="30"/>
          <w:szCs w:val="30"/>
          <w:highlight w:val="none"/>
          <w:lang w:val="en-US" w:eastAsia="zh-CN"/>
        </w:rPr>
        <w:t>90%及</w:t>
      </w:r>
      <w:r>
        <w:rPr>
          <w:rFonts w:hint="eastAsia" w:ascii="仿宋_GB2312" w:hAnsi="仿宋_GB2312" w:eastAsia="仿宋_GB2312" w:cs="仿宋_GB2312"/>
          <w:color w:val="auto"/>
          <w:spacing w:val="-3"/>
          <w:sz w:val="30"/>
          <w:szCs w:val="30"/>
          <w:highlight w:val="none"/>
        </w:rPr>
        <w:t>距离≤0.5米，视为定位合格；</w:t>
      </w:r>
    </w:p>
    <w:p w14:paraId="2CB57F35">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（3）成果报告：包含编号、位置、</w:t>
      </w:r>
      <w:r>
        <w:rPr>
          <w:rFonts w:hint="eastAsia" w:ascii="仿宋_GB2312" w:hAnsi="仿宋_GB2312" w:eastAsia="仿宋_GB2312" w:cs="仿宋_GB2312"/>
          <w:color w:val="auto"/>
          <w:spacing w:val="-3"/>
          <w:sz w:val="30"/>
          <w:szCs w:val="30"/>
          <w:highlight w:val="none"/>
          <w:lang w:val="en-US" w:eastAsia="zh-CN"/>
        </w:rPr>
        <w:t>管长、</w:t>
      </w:r>
      <w:r>
        <w:rPr>
          <w:rFonts w:hint="eastAsia" w:ascii="仿宋_GB2312" w:hAnsi="仿宋_GB2312" w:eastAsia="仿宋_GB2312" w:cs="仿宋_GB2312"/>
          <w:color w:val="auto"/>
          <w:spacing w:val="-3"/>
          <w:sz w:val="30"/>
          <w:szCs w:val="30"/>
          <w:highlight w:val="none"/>
        </w:rPr>
        <w:t>管径</w:t>
      </w:r>
      <w:r>
        <w:rPr>
          <w:rFonts w:hint="eastAsia" w:ascii="仿宋_GB2312" w:hAnsi="仿宋_GB2312" w:eastAsia="仿宋_GB2312" w:cs="仿宋_GB2312"/>
          <w:color w:val="auto"/>
          <w:spacing w:val="-3"/>
          <w:sz w:val="30"/>
          <w:szCs w:val="30"/>
          <w:highlight w:val="none"/>
          <w:lang w:eastAsia="zh-CN"/>
        </w:rPr>
        <w:t>、</w:t>
      </w:r>
      <w:r>
        <w:rPr>
          <w:rFonts w:hint="eastAsia" w:ascii="仿宋_GB2312" w:hAnsi="仿宋_GB2312" w:eastAsia="仿宋_GB2312" w:cs="仿宋_GB2312"/>
          <w:color w:val="auto"/>
          <w:spacing w:val="-3"/>
          <w:sz w:val="30"/>
          <w:szCs w:val="30"/>
          <w:highlight w:val="none"/>
        </w:rPr>
        <w:t>漏水原因</w:t>
      </w:r>
      <w:r>
        <w:rPr>
          <w:rFonts w:hint="eastAsia" w:ascii="仿宋_GB2312" w:hAnsi="仿宋_GB2312" w:eastAsia="仿宋_GB2312" w:cs="仿宋_GB2312"/>
          <w:color w:val="auto"/>
          <w:spacing w:val="-3"/>
          <w:sz w:val="30"/>
          <w:szCs w:val="30"/>
          <w:highlight w:val="none"/>
          <w:lang w:val="en-US" w:eastAsia="zh-CN"/>
        </w:rPr>
        <w:t xml:space="preserve"> </w:t>
      </w:r>
      <w:r>
        <w:rPr>
          <w:rFonts w:hint="eastAsia" w:ascii="仿宋_GB2312" w:hAnsi="仿宋_GB2312" w:eastAsia="仿宋_GB2312" w:cs="仿宋_GB2312"/>
          <w:color w:val="auto"/>
          <w:spacing w:val="-3"/>
          <w:sz w:val="30"/>
          <w:szCs w:val="30"/>
          <w:highlight w:val="none"/>
        </w:rPr>
        <w:t>、维修建议</w:t>
      </w:r>
      <w:r>
        <w:rPr>
          <w:rFonts w:hint="eastAsia" w:ascii="仿宋_GB2312" w:hAnsi="仿宋_GB2312" w:eastAsia="仿宋_GB2312" w:cs="仿宋_GB2312"/>
          <w:color w:val="auto"/>
          <w:spacing w:val="-3"/>
          <w:sz w:val="30"/>
          <w:szCs w:val="30"/>
          <w:highlight w:val="none"/>
          <w:lang w:eastAsia="zh-CN"/>
        </w:rPr>
        <w:t>等、并</w:t>
      </w:r>
      <w:r>
        <w:rPr>
          <w:rFonts w:hint="eastAsia" w:ascii="仿宋_GB2312" w:hAnsi="仿宋_GB2312" w:eastAsia="仿宋_GB2312" w:cs="仿宋_GB2312"/>
          <w:color w:val="auto"/>
          <w:spacing w:val="-3"/>
          <w:sz w:val="30"/>
          <w:szCs w:val="30"/>
          <w:highlight w:val="none"/>
          <w:lang w:val="en-US" w:eastAsia="zh-CN"/>
        </w:rPr>
        <w:t>加盖乙方公章或业务章</w:t>
      </w:r>
      <w:r>
        <w:rPr>
          <w:rFonts w:hint="eastAsia" w:ascii="仿宋_GB2312" w:hAnsi="仿宋_GB2312" w:eastAsia="仿宋_GB2312" w:cs="仿宋_GB2312"/>
          <w:color w:val="auto"/>
          <w:spacing w:val="-3"/>
          <w:sz w:val="30"/>
          <w:szCs w:val="30"/>
          <w:highlight w:val="none"/>
        </w:rPr>
        <w:t>。</w:t>
      </w:r>
    </w:p>
    <w:p w14:paraId="1FAF8160">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4.2 验收流程：</w:t>
      </w:r>
    </w:p>
    <w:p w14:paraId="1851F5E7">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000000" w:themeColor="text1"/>
          <w:spacing w:val="-3"/>
          <w:sz w:val="30"/>
          <w:szCs w:val="3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pacing w:val="-3"/>
          <w:sz w:val="30"/>
          <w:szCs w:val="30"/>
          <w:highlight w:val="none"/>
          <w14:textFill>
            <w14:solidFill>
              <w14:schemeClr w14:val="tx1"/>
            </w14:solidFill>
          </w14:textFill>
        </w:rPr>
        <w:t>（1）</w:t>
      </w:r>
      <w:r>
        <w:rPr>
          <w:rFonts w:hint="eastAsia" w:ascii="仿宋_GB2312" w:hAnsi="仿宋_GB2312" w:eastAsia="仿宋_GB2312" w:cs="仿宋_GB2312"/>
          <w:color w:val="000000" w:themeColor="text1"/>
          <w:spacing w:val="-3"/>
          <w:sz w:val="30"/>
          <w:szCs w:val="30"/>
          <w:highlight w:val="none"/>
          <w:lang w:val="en-US" w:eastAsia="zh-CN"/>
          <w14:textFill>
            <w14:solidFill>
              <w14:schemeClr w14:val="tx1"/>
            </w14:solidFill>
          </w14:textFill>
        </w:rPr>
        <w:t>预验收申请与实施</w:t>
      </w:r>
      <w:r>
        <w:rPr>
          <w:rFonts w:hint="default" w:ascii="仿宋_GB2312" w:hAnsi="仿宋_GB2312" w:eastAsia="仿宋_GB2312" w:cs="仿宋_GB2312"/>
          <w:color w:val="000000" w:themeColor="text1"/>
          <w:spacing w:val="-3"/>
          <w:sz w:val="30"/>
          <w:szCs w:val="30"/>
          <w:highlight w:val="none"/>
          <w:lang w:val="en-US" w:eastAsia="zh-CN"/>
          <w14:textFill>
            <w14:solidFill>
              <w14:schemeClr w14:val="tx1"/>
            </w14:solidFill>
          </w14:textFill>
        </w:rPr>
        <w:t>：乙方完成合同约定的全部管网检测工作后，应在 3 个工作日内以书面形式（含电子版）向甲方提交预验收申请，申请材料需包含检测报告、检测点位明细、现场影像资料等完整支撑文件。甲方收到申请后，需在 5 个工作日内与乙方协商确定预验收时间，双方各指派人员共同到场开展预验收工作；双方需对检测结果的完整性、准确性进行现场核验，形成预验收记录，由双方人员共同签字确认。​</w:t>
      </w:r>
    </w:p>
    <w:p w14:paraId="4E767EDF">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000000" w:themeColor="text1"/>
          <w:spacing w:val="-3"/>
          <w:sz w:val="30"/>
          <w:szCs w:val="30"/>
          <w:highlight w:val="none"/>
          <w:lang w:val="en-US" w:eastAsia="zh-CN"/>
          <w14:textFill>
            <w14:solidFill>
              <w14:schemeClr w14:val="tx1"/>
            </w14:solidFill>
          </w14:textFill>
        </w:rPr>
      </w:pPr>
      <w:r>
        <w:rPr>
          <w:rFonts w:hint="default" w:ascii="仿宋_GB2312" w:hAnsi="仿宋_GB2312" w:eastAsia="仿宋_GB2312" w:cs="仿宋_GB2312"/>
          <w:color w:val="000000" w:themeColor="text1"/>
          <w:spacing w:val="-3"/>
          <w:sz w:val="30"/>
          <w:szCs w:val="30"/>
          <w:highlight w:val="none"/>
          <w:lang w:val="en-US" w:eastAsia="zh-CN"/>
          <w14:textFill>
            <w14:solidFill>
              <w14:schemeClr w14:val="tx1"/>
            </w14:solidFill>
          </w14:textFill>
        </w:rPr>
        <w:t>开挖协调与管控：预验收完成且双方对需开挖维修的点位达成一致后，由甲方统一负责协调施工队，开挖维修。​</w:t>
      </w:r>
    </w:p>
    <w:p w14:paraId="7AE95DA1">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000000" w:themeColor="text1"/>
          <w:spacing w:val="-3"/>
          <w:sz w:val="30"/>
          <w:szCs w:val="30"/>
          <w:highlight w:val="none"/>
          <w:lang w:eastAsia="zh-CN"/>
          <w14:textFill>
            <w14:solidFill>
              <w14:schemeClr w14:val="tx1"/>
            </w14:solidFill>
          </w14:textFill>
        </w:rPr>
      </w:pPr>
      <w:r>
        <w:rPr>
          <w:rFonts w:hint="default" w:ascii="仿宋_GB2312" w:hAnsi="仿宋_GB2312" w:eastAsia="仿宋_GB2312" w:cs="仿宋_GB2312"/>
          <w:color w:val="000000" w:themeColor="text1"/>
          <w:spacing w:val="-3"/>
          <w:sz w:val="30"/>
          <w:szCs w:val="30"/>
          <w:highlight w:val="none"/>
          <w:lang w:val="en-US" w:eastAsia="zh-CN"/>
          <w14:textFill>
            <w14:solidFill>
              <w14:schemeClr w14:val="tx1"/>
            </w14:solidFill>
          </w14:textFill>
        </w:rPr>
        <w:t>漏损率检测与最终验收：开挖维修工作全部完成后，当该区域管网漏损率降低至≤20% 时，乙方需向甲方提交最终验收申请及漏损率检测报告；甲方收到申请后 10 个工作日内组织最终验收，验收合格的，双方签订最终验收确认书，本次管网检测维修项目正式完成；若漏损率未达到≤20% 的标准，乙方需配合施工队重新排查维修，直至满足标准后再行申请最终验收。</w:t>
      </w:r>
    </w:p>
    <w:p w14:paraId="09BD503F">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eastAsia="zh-CN"/>
        </w:rPr>
      </w:pPr>
      <w:r>
        <w:rPr>
          <w:rFonts w:hint="eastAsia" w:ascii="仿宋_GB2312" w:hAnsi="仿宋_GB2312" w:eastAsia="仿宋_GB2312" w:cs="仿宋_GB2312"/>
          <w:color w:val="auto"/>
          <w:spacing w:val="-3"/>
          <w:sz w:val="30"/>
          <w:szCs w:val="30"/>
          <w:highlight w:val="none"/>
        </w:rPr>
        <w:t>（</w:t>
      </w:r>
      <w:r>
        <w:rPr>
          <w:rFonts w:hint="eastAsia" w:ascii="仿宋_GB2312" w:hAnsi="仿宋_GB2312" w:eastAsia="仿宋_GB2312" w:cs="仿宋_GB2312"/>
          <w:color w:val="auto"/>
          <w:spacing w:val="-3"/>
          <w:sz w:val="30"/>
          <w:szCs w:val="30"/>
          <w:highlight w:val="none"/>
          <w:lang w:val="en-US" w:eastAsia="zh-CN"/>
        </w:rPr>
        <w:t>2</w:t>
      </w:r>
      <w:r>
        <w:rPr>
          <w:rFonts w:hint="eastAsia" w:ascii="仿宋_GB2312" w:hAnsi="仿宋_GB2312" w:eastAsia="仿宋_GB2312" w:cs="仿宋_GB2312"/>
          <w:color w:val="auto"/>
          <w:spacing w:val="-3"/>
          <w:sz w:val="30"/>
          <w:szCs w:val="30"/>
          <w:highlight w:val="none"/>
        </w:rPr>
        <w:t>）乙方现场填写漏点记录确认单及漏点情况说明，</w:t>
      </w:r>
      <w:r>
        <w:rPr>
          <w:rFonts w:hint="eastAsia" w:ascii="仿宋_GB2312" w:hAnsi="仿宋_GB2312" w:eastAsia="仿宋_GB2312" w:cs="仿宋_GB2312"/>
          <w:color w:val="auto"/>
          <w:spacing w:val="-3"/>
          <w:sz w:val="30"/>
          <w:szCs w:val="30"/>
          <w:highlight w:val="none"/>
          <w:lang w:eastAsia="zh-CN"/>
        </w:rPr>
        <w:t>经</w:t>
      </w:r>
      <w:r>
        <w:rPr>
          <w:rFonts w:hint="eastAsia" w:ascii="仿宋_GB2312" w:hAnsi="仿宋_GB2312" w:eastAsia="仿宋_GB2312" w:cs="仿宋_GB2312"/>
          <w:color w:val="auto"/>
          <w:spacing w:val="-3"/>
          <w:sz w:val="30"/>
          <w:szCs w:val="30"/>
          <w:highlight w:val="none"/>
        </w:rPr>
        <w:t>甲乙双方现场签字确认</w:t>
      </w:r>
      <w:r>
        <w:rPr>
          <w:rFonts w:hint="eastAsia" w:ascii="仿宋_GB2312" w:hAnsi="仿宋_GB2312" w:eastAsia="仿宋_GB2312" w:cs="仿宋_GB2312"/>
          <w:color w:val="auto"/>
          <w:spacing w:val="-3"/>
          <w:sz w:val="30"/>
          <w:szCs w:val="30"/>
          <w:highlight w:val="none"/>
          <w:lang w:eastAsia="zh-CN"/>
        </w:rPr>
        <w:t>，作为费用结算依据。</w:t>
      </w:r>
    </w:p>
    <w:p w14:paraId="616BAB3B">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90" w:firstLineChars="200"/>
        <w:jc w:val="both"/>
        <w:textAlignment w:val="baseline"/>
        <w:rPr>
          <w:rFonts w:hint="eastAsia" w:ascii="仿宋_GB2312" w:hAnsi="仿宋_GB2312" w:eastAsia="仿宋_GB2312" w:cs="仿宋_GB2312"/>
          <w:b/>
          <w:bCs/>
          <w:color w:val="auto"/>
          <w:spacing w:val="-3"/>
          <w:sz w:val="30"/>
          <w:szCs w:val="30"/>
          <w:highlight w:val="none"/>
        </w:rPr>
      </w:pPr>
      <w:r>
        <w:rPr>
          <w:rFonts w:hint="eastAsia" w:ascii="仿宋_GB2312" w:hAnsi="仿宋_GB2312" w:eastAsia="仿宋_GB2312" w:cs="仿宋_GB2312"/>
          <w:b/>
          <w:bCs/>
          <w:color w:val="auto"/>
          <w:spacing w:val="-3"/>
          <w:sz w:val="30"/>
          <w:szCs w:val="30"/>
          <w:highlight w:val="none"/>
        </w:rPr>
        <w:t>第五条 双方权利与义务</w:t>
      </w:r>
    </w:p>
    <w:p w14:paraId="7BCC4A04">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5.1 甲方权利与义务：</w:t>
      </w:r>
    </w:p>
    <w:p w14:paraId="529553BB">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（1）有权对乙方检测过程进行监督，要求乙方提供检测数据及设备校验记录；</w:t>
      </w:r>
    </w:p>
    <w:p w14:paraId="0FFA198B">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（2）有权要求乙方对检测结果进行解释，对不合理之处提出整改要求；</w:t>
      </w:r>
    </w:p>
    <w:p w14:paraId="22B1E9D4">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（3）按合同约定提供技术资料及配合人员；</w:t>
      </w:r>
    </w:p>
    <w:p w14:paraId="7055D41B">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eastAsia="zh-CN"/>
        </w:rPr>
      </w:pPr>
      <w:r>
        <w:rPr>
          <w:rFonts w:hint="eastAsia" w:ascii="仿宋_GB2312" w:hAnsi="仿宋_GB2312" w:eastAsia="仿宋_GB2312" w:cs="仿宋_GB2312"/>
          <w:color w:val="auto"/>
          <w:spacing w:val="-3"/>
          <w:sz w:val="30"/>
          <w:szCs w:val="30"/>
          <w:highlight w:val="none"/>
        </w:rPr>
        <w:t>（4）及时支付检测费用，若对费用有异议，双方协商解决</w:t>
      </w:r>
      <w:r>
        <w:rPr>
          <w:rFonts w:hint="eastAsia" w:ascii="仿宋_GB2312" w:hAnsi="仿宋_GB2312" w:eastAsia="仿宋_GB2312" w:cs="仿宋_GB2312"/>
          <w:color w:val="auto"/>
          <w:spacing w:val="-3"/>
          <w:sz w:val="30"/>
          <w:szCs w:val="30"/>
          <w:highlight w:val="none"/>
          <w:lang w:eastAsia="zh-CN"/>
        </w:rPr>
        <w:t>。</w:t>
      </w:r>
    </w:p>
    <w:p w14:paraId="045D6FD4">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5.2 乙方权利与义务：</w:t>
      </w:r>
    </w:p>
    <w:p w14:paraId="58660040">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（1）有权要求甲方按时提供技术资料及配合服务；</w:t>
      </w:r>
    </w:p>
    <w:p w14:paraId="47EED90F">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（2）严格按照合同约定及行业标准开展检测，确保检测结果真实、准确，不得虚报；</w:t>
      </w:r>
    </w:p>
    <w:p w14:paraId="66980395">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（3）作业人员需配备符合安全标准的防护设备（如安全帽、反光衣、气体检测仪等），作业现场设置安全警示标志，避免发生安全事故；若因乙方操作不当造成人身伤害或财产损失，由乙方承担全部责任；</w:t>
      </w:r>
    </w:p>
    <w:p w14:paraId="55DAA1B9">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（4）遵守甲方及项目所在地关于环境保护的规定，检测过程中产生的垃圾（如包装材料、废弃标记）需及时清理，不得污染环境；</w:t>
      </w:r>
    </w:p>
    <w:p w14:paraId="4221D238">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（5）严格保密甲方提供的管网技术资料，不得向第三方泄露；</w:t>
      </w:r>
    </w:p>
    <w:p w14:paraId="7FBF8270">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（6）按合同约定提供漏损控制技术服务（具体见第</w:t>
      </w:r>
      <w:r>
        <w:rPr>
          <w:rFonts w:hint="eastAsia" w:ascii="仿宋_GB2312" w:hAnsi="仿宋_GB2312" w:eastAsia="仿宋_GB2312" w:cs="仿宋_GB2312"/>
          <w:color w:val="auto"/>
          <w:spacing w:val="-3"/>
          <w:sz w:val="30"/>
          <w:szCs w:val="30"/>
          <w:highlight w:val="none"/>
          <w:lang w:eastAsia="zh-CN"/>
        </w:rPr>
        <w:t>八</w:t>
      </w:r>
      <w:r>
        <w:rPr>
          <w:rFonts w:hint="eastAsia" w:ascii="仿宋_GB2312" w:hAnsi="仿宋_GB2312" w:eastAsia="仿宋_GB2312" w:cs="仿宋_GB2312"/>
          <w:color w:val="auto"/>
          <w:spacing w:val="-3"/>
          <w:sz w:val="30"/>
          <w:szCs w:val="30"/>
          <w:highlight w:val="none"/>
        </w:rPr>
        <w:t>条），技术服务需以书面形式提交。</w:t>
      </w:r>
    </w:p>
    <w:p w14:paraId="7965290D">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90" w:firstLineChars="200"/>
        <w:jc w:val="both"/>
        <w:textAlignment w:val="baseline"/>
        <w:rPr>
          <w:rFonts w:hint="eastAsia" w:ascii="仿宋_GB2312" w:hAnsi="仿宋_GB2312" w:eastAsia="仿宋_GB2312" w:cs="仿宋_GB2312"/>
          <w:b/>
          <w:bCs/>
          <w:color w:val="auto"/>
          <w:spacing w:val="-3"/>
          <w:sz w:val="30"/>
          <w:szCs w:val="30"/>
          <w:highlight w:val="none"/>
        </w:rPr>
      </w:pPr>
      <w:r>
        <w:rPr>
          <w:rFonts w:hint="eastAsia" w:ascii="仿宋_GB2312" w:hAnsi="仿宋_GB2312" w:eastAsia="仿宋_GB2312" w:cs="仿宋_GB2312"/>
          <w:b/>
          <w:bCs/>
          <w:color w:val="auto"/>
          <w:spacing w:val="-3"/>
          <w:sz w:val="30"/>
          <w:szCs w:val="30"/>
          <w:highlight w:val="none"/>
        </w:rPr>
        <w:t xml:space="preserve">第六条 </w:t>
      </w:r>
      <w:r>
        <w:rPr>
          <w:rFonts w:hint="eastAsia" w:ascii="仿宋_GB2312" w:hAnsi="仿宋_GB2312" w:eastAsia="仿宋_GB2312" w:cs="仿宋_GB2312"/>
          <w:b/>
          <w:bCs/>
          <w:color w:val="auto"/>
          <w:spacing w:val="-3"/>
          <w:sz w:val="30"/>
          <w:szCs w:val="30"/>
          <w:highlight w:val="none"/>
          <w:lang w:eastAsia="zh-CN"/>
        </w:rPr>
        <w:t>合同价款</w:t>
      </w:r>
      <w:r>
        <w:rPr>
          <w:rFonts w:hint="eastAsia" w:ascii="仿宋_GB2312" w:hAnsi="仿宋_GB2312" w:eastAsia="仿宋_GB2312" w:cs="仿宋_GB2312"/>
          <w:b/>
          <w:bCs/>
          <w:color w:val="auto"/>
          <w:spacing w:val="-3"/>
          <w:sz w:val="30"/>
          <w:szCs w:val="30"/>
          <w:highlight w:val="none"/>
        </w:rPr>
        <w:t>与支付方式</w:t>
      </w:r>
    </w:p>
    <w:p w14:paraId="29FDCD0D">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 xml:space="preserve">6.1 </w:t>
      </w:r>
      <w:r>
        <w:rPr>
          <w:rFonts w:hint="eastAsia" w:ascii="仿宋_GB2312" w:hAnsi="仿宋_GB2312" w:eastAsia="仿宋_GB2312" w:cs="仿宋_GB2312"/>
          <w:color w:val="auto"/>
          <w:spacing w:val="-3"/>
          <w:sz w:val="30"/>
          <w:szCs w:val="30"/>
          <w:highlight w:val="none"/>
          <w:lang w:eastAsia="zh-CN"/>
        </w:rPr>
        <w:t>合同价款</w:t>
      </w:r>
      <w:r>
        <w:rPr>
          <w:rFonts w:hint="eastAsia" w:ascii="仿宋_GB2312" w:hAnsi="仿宋_GB2312" w:eastAsia="仿宋_GB2312" w:cs="仿宋_GB2312"/>
          <w:color w:val="auto"/>
          <w:spacing w:val="-3"/>
          <w:sz w:val="30"/>
          <w:szCs w:val="30"/>
          <w:highlight w:val="none"/>
        </w:rPr>
        <w:t>：</w:t>
      </w:r>
    </w:p>
    <w:p w14:paraId="00CB3658">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eastAsia="zh-CN"/>
        </w:rPr>
      </w:pPr>
      <w:r>
        <w:rPr>
          <w:rFonts w:hint="eastAsia" w:ascii="仿宋_GB2312" w:hAnsi="仿宋_GB2312" w:eastAsia="仿宋_GB2312" w:cs="仿宋_GB2312"/>
          <w:color w:val="auto"/>
          <w:spacing w:val="-3"/>
          <w:sz w:val="30"/>
          <w:szCs w:val="30"/>
          <w:highlight w:val="none"/>
        </w:rPr>
        <w:t>（1）</w:t>
      </w:r>
      <w:r>
        <w:rPr>
          <w:rFonts w:hint="eastAsia" w:ascii="仿宋_GB2312" w:hAnsi="仿宋_GB2312" w:eastAsia="仿宋_GB2312" w:cs="仿宋_GB2312"/>
          <w:color w:val="auto"/>
          <w:spacing w:val="-3"/>
          <w:sz w:val="30"/>
          <w:szCs w:val="30"/>
          <w:highlight w:val="none"/>
          <w:u w:val="none"/>
          <w:lang w:eastAsia="zh-CN"/>
        </w:rPr>
        <w:t>本</w:t>
      </w:r>
      <w:r>
        <w:rPr>
          <w:rFonts w:hint="eastAsia" w:ascii="仿宋_GB2312" w:hAnsi="仿宋_GB2312" w:eastAsia="仿宋_GB2312" w:cs="仿宋_GB2312"/>
          <w:color w:val="auto"/>
          <w:spacing w:val="-3"/>
          <w:sz w:val="30"/>
          <w:szCs w:val="30"/>
          <w:highlight w:val="none"/>
        </w:rPr>
        <w:t>检测合同价款形式：</w:t>
      </w:r>
      <w:r>
        <w:rPr>
          <w:rFonts w:hint="eastAsia" w:ascii="仿宋_GB2312" w:hAnsi="仿宋_GB2312" w:eastAsia="仿宋_GB2312" w:cs="仿宋_GB2312"/>
          <w:color w:val="auto"/>
          <w:spacing w:val="-3"/>
          <w:sz w:val="30"/>
          <w:szCs w:val="30"/>
          <w:highlight w:val="none"/>
          <w:u w:val="single"/>
        </w:rPr>
        <w:t>固定综合单价</w:t>
      </w:r>
      <w:r>
        <w:rPr>
          <w:rFonts w:hint="eastAsia" w:ascii="仿宋_GB2312" w:hAnsi="仿宋_GB2312" w:eastAsia="仿宋_GB2312" w:cs="仿宋_GB2312"/>
          <w:color w:val="auto"/>
          <w:spacing w:val="-3"/>
          <w:sz w:val="30"/>
          <w:szCs w:val="30"/>
          <w:highlight w:val="none"/>
          <w:lang w:eastAsia="zh-CN"/>
        </w:rPr>
        <w:t>；</w:t>
      </w:r>
    </w:p>
    <w:p w14:paraId="01701C2B">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eastAsia="zh-CN"/>
        </w:rPr>
      </w:pPr>
      <w:r>
        <w:rPr>
          <w:rFonts w:hint="eastAsia" w:ascii="仿宋_GB2312" w:hAnsi="仿宋_GB2312" w:eastAsia="仿宋_GB2312" w:cs="仿宋_GB2312"/>
          <w:color w:val="auto"/>
          <w:spacing w:val="-3"/>
          <w:sz w:val="30"/>
          <w:szCs w:val="30"/>
          <w:highlight w:val="none"/>
        </w:rPr>
        <w:t>（</w:t>
      </w:r>
      <w:r>
        <w:rPr>
          <w:rFonts w:hint="eastAsia" w:ascii="仿宋_GB2312" w:hAnsi="仿宋_GB2312" w:eastAsia="仿宋_GB2312" w:cs="仿宋_GB2312"/>
          <w:color w:val="auto"/>
          <w:spacing w:val="-3"/>
          <w:sz w:val="30"/>
          <w:szCs w:val="30"/>
          <w:highlight w:val="none"/>
          <w:lang w:val="en-US" w:eastAsia="zh-CN"/>
        </w:rPr>
        <w:t>2</w:t>
      </w:r>
      <w:r>
        <w:rPr>
          <w:rFonts w:hint="eastAsia" w:ascii="仿宋_GB2312" w:hAnsi="仿宋_GB2312" w:eastAsia="仿宋_GB2312" w:cs="仿宋_GB2312"/>
          <w:color w:val="auto"/>
          <w:spacing w:val="-3"/>
          <w:sz w:val="30"/>
          <w:szCs w:val="30"/>
          <w:highlight w:val="none"/>
        </w:rPr>
        <w:t>）工程检测费用单价为：漏点检测单价</w:t>
      </w:r>
      <w:r>
        <w:rPr>
          <w:rFonts w:hint="eastAsia" w:ascii="仿宋_GB2312" w:hAnsi="仿宋_GB2312" w:eastAsia="仿宋_GB2312" w:cs="仿宋_GB2312"/>
          <w:color w:val="auto"/>
          <w:spacing w:val="-3"/>
          <w:sz w:val="30"/>
          <w:szCs w:val="30"/>
          <w:highlight w:val="none"/>
          <w:u w:val="single"/>
        </w:rPr>
        <w:t>（中标后填写）</w:t>
      </w:r>
      <w:r>
        <w:rPr>
          <w:rFonts w:hint="eastAsia" w:ascii="仿宋_GB2312" w:hAnsi="仿宋_GB2312" w:eastAsia="仿宋_GB2312" w:cs="仿宋_GB2312"/>
          <w:color w:val="auto"/>
          <w:spacing w:val="-3"/>
          <w:sz w:val="30"/>
          <w:szCs w:val="30"/>
          <w:highlight w:val="none"/>
        </w:rPr>
        <w:t>元/个，按漏点个数计价</w:t>
      </w:r>
      <w:r>
        <w:rPr>
          <w:rFonts w:hint="eastAsia" w:ascii="仿宋_GB2312" w:hAnsi="仿宋_GB2312" w:eastAsia="仿宋_GB2312" w:cs="仿宋_GB2312"/>
          <w:color w:val="auto"/>
          <w:spacing w:val="-3"/>
          <w:sz w:val="30"/>
          <w:szCs w:val="30"/>
          <w:highlight w:val="none"/>
          <w:lang w:eastAsia="zh-CN"/>
        </w:rPr>
        <w:t>；</w:t>
      </w:r>
    </w:p>
    <w:p w14:paraId="53FBB8F5">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eastAsia="zh-CN"/>
        </w:rPr>
      </w:pPr>
      <w:r>
        <w:rPr>
          <w:rFonts w:hint="eastAsia" w:ascii="仿宋_GB2312" w:hAnsi="仿宋_GB2312" w:eastAsia="仿宋_GB2312" w:cs="仿宋_GB2312"/>
          <w:color w:val="auto"/>
          <w:spacing w:val="-3"/>
          <w:sz w:val="30"/>
          <w:szCs w:val="30"/>
          <w:highlight w:val="none"/>
        </w:rPr>
        <w:t>（</w:t>
      </w:r>
      <w:r>
        <w:rPr>
          <w:rFonts w:hint="eastAsia" w:ascii="仿宋_GB2312" w:hAnsi="仿宋_GB2312" w:eastAsia="仿宋_GB2312" w:cs="仿宋_GB2312"/>
          <w:color w:val="auto"/>
          <w:spacing w:val="-3"/>
          <w:sz w:val="30"/>
          <w:szCs w:val="30"/>
          <w:highlight w:val="none"/>
          <w:lang w:val="en-US" w:eastAsia="zh-CN"/>
        </w:rPr>
        <w:t>3</w:t>
      </w:r>
      <w:r>
        <w:rPr>
          <w:rFonts w:hint="eastAsia" w:ascii="仿宋_GB2312" w:hAnsi="仿宋_GB2312" w:eastAsia="仿宋_GB2312" w:cs="仿宋_GB2312"/>
          <w:color w:val="auto"/>
          <w:spacing w:val="-3"/>
          <w:sz w:val="30"/>
          <w:szCs w:val="30"/>
          <w:highlight w:val="none"/>
        </w:rPr>
        <w:t>）合同总价：中标单价×实际漏点个数=应支付合同总价（当N≤23个时，按23个计算；当23＜N＜44个时，按实际个数计算；当N≥44个时，按44个计算）</w:t>
      </w:r>
      <w:r>
        <w:rPr>
          <w:rFonts w:hint="eastAsia" w:ascii="仿宋_GB2312" w:hAnsi="仿宋_GB2312" w:eastAsia="仿宋_GB2312" w:cs="仿宋_GB2312"/>
          <w:color w:val="auto"/>
          <w:spacing w:val="-3"/>
          <w:sz w:val="30"/>
          <w:szCs w:val="30"/>
          <w:highlight w:val="none"/>
          <w:lang w:eastAsia="zh-CN"/>
        </w:rPr>
        <w:t>；</w:t>
      </w:r>
    </w:p>
    <w:p w14:paraId="7150A3D2">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w:t>
      </w:r>
      <w:r>
        <w:rPr>
          <w:rFonts w:hint="eastAsia" w:ascii="仿宋_GB2312" w:hAnsi="仿宋_GB2312" w:eastAsia="仿宋_GB2312" w:cs="仿宋_GB2312"/>
          <w:color w:val="auto"/>
          <w:spacing w:val="-3"/>
          <w:sz w:val="30"/>
          <w:szCs w:val="30"/>
          <w:highlight w:val="none"/>
          <w:lang w:val="en-US" w:eastAsia="zh-CN"/>
        </w:rPr>
        <w:t>4</w:t>
      </w:r>
      <w:r>
        <w:rPr>
          <w:rFonts w:hint="eastAsia" w:ascii="仿宋_GB2312" w:hAnsi="仿宋_GB2312" w:eastAsia="仿宋_GB2312" w:cs="仿宋_GB2312"/>
          <w:color w:val="auto"/>
          <w:spacing w:val="-3"/>
          <w:sz w:val="30"/>
          <w:szCs w:val="30"/>
          <w:highlight w:val="none"/>
        </w:rPr>
        <w:t>）税金：按纳税义务发生时的税率执行</w:t>
      </w:r>
      <w:r>
        <w:rPr>
          <w:rFonts w:hint="eastAsia" w:ascii="仿宋_GB2312" w:hAnsi="仿宋_GB2312" w:eastAsia="仿宋_GB2312" w:cs="仿宋_GB2312"/>
          <w:color w:val="auto"/>
          <w:spacing w:val="-3"/>
          <w:sz w:val="30"/>
          <w:szCs w:val="30"/>
          <w:highlight w:val="none"/>
          <w:lang w:eastAsia="zh-CN"/>
        </w:rPr>
        <w:t>（</w:t>
      </w:r>
      <w:r>
        <w:rPr>
          <w:rFonts w:hint="eastAsia" w:ascii="仿宋_GB2312" w:eastAsia="仿宋_GB2312"/>
          <w:color w:val="auto"/>
          <w:sz w:val="30"/>
          <w:szCs w:val="30"/>
          <w:highlight w:val="none"/>
          <w:lang w:val="en-US" w:eastAsia="zh-CN"/>
        </w:rPr>
        <w:t>小规模纳税人税率为3%，一般纳税人税率为6%）。</w:t>
      </w:r>
    </w:p>
    <w:p w14:paraId="59D8BA6E">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 xml:space="preserve">6.2 </w:t>
      </w:r>
      <w:r>
        <w:rPr>
          <w:rFonts w:hint="eastAsia" w:ascii="仿宋_GB2312" w:hAnsi="仿宋_GB2312" w:eastAsia="仿宋_GB2312" w:cs="仿宋_GB2312"/>
          <w:color w:val="auto"/>
          <w:spacing w:val="-3"/>
          <w:sz w:val="30"/>
          <w:szCs w:val="30"/>
          <w:highlight w:val="none"/>
          <w:lang w:val="en-US" w:eastAsia="zh-CN"/>
        </w:rPr>
        <w:t>工程款</w:t>
      </w:r>
      <w:r>
        <w:rPr>
          <w:rFonts w:hint="eastAsia" w:ascii="仿宋_GB2312" w:hAnsi="仿宋_GB2312" w:eastAsia="仿宋_GB2312" w:cs="仿宋_GB2312"/>
          <w:color w:val="auto"/>
          <w:spacing w:val="-3"/>
          <w:sz w:val="30"/>
          <w:szCs w:val="30"/>
          <w:highlight w:val="none"/>
        </w:rPr>
        <w:t>支付</w:t>
      </w:r>
      <w:r>
        <w:rPr>
          <w:rFonts w:hint="eastAsia" w:ascii="仿宋_GB2312" w:hAnsi="仿宋_GB2312" w:eastAsia="仿宋_GB2312" w:cs="仿宋_GB2312"/>
          <w:color w:val="auto"/>
          <w:spacing w:val="-3"/>
          <w:sz w:val="30"/>
          <w:szCs w:val="30"/>
          <w:highlight w:val="none"/>
          <w:lang w:val="en-US" w:eastAsia="zh-CN"/>
        </w:rPr>
        <w:t>及要素</w:t>
      </w:r>
      <w:r>
        <w:rPr>
          <w:rFonts w:hint="eastAsia" w:ascii="仿宋_GB2312" w:hAnsi="仿宋_GB2312" w:eastAsia="仿宋_GB2312" w:cs="仿宋_GB2312"/>
          <w:color w:val="auto"/>
          <w:spacing w:val="-3"/>
          <w:sz w:val="30"/>
          <w:szCs w:val="30"/>
          <w:highlight w:val="none"/>
        </w:rPr>
        <w:t>：</w:t>
      </w:r>
    </w:p>
    <w:p w14:paraId="48E25D4E">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000000" w:themeColor="text1"/>
          <w:spacing w:val="-3"/>
          <w:sz w:val="30"/>
          <w:szCs w:val="30"/>
          <w:highlight w:val="none"/>
          <w:lang w:eastAsia="zh-CN"/>
          <w14:textFill>
            <w14:solidFill>
              <w14:schemeClr w14:val="tx1"/>
            </w14:solidFill>
          </w14:textFill>
        </w:rPr>
      </w:pPr>
      <w:r>
        <w:rPr>
          <w:rFonts w:hint="eastAsia" w:ascii="仿宋_GB2312" w:hAnsi="仿宋_GB2312" w:eastAsia="仿宋_GB2312" w:cs="仿宋_GB2312"/>
          <w:color w:val="auto"/>
          <w:spacing w:val="-3"/>
          <w:sz w:val="30"/>
          <w:szCs w:val="30"/>
          <w:highlight w:val="none"/>
          <w:lang w:eastAsia="zh-CN"/>
        </w:rPr>
        <w:t>（</w:t>
      </w:r>
      <w:r>
        <w:rPr>
          <w:rFonts w:hint="eastAsia" w:ascii="仿宋_GB2312" w:hAnsi="仿宋_GB2312" w:eastAsia="仿宋_GB2312" w:cs="仿宋_GB2312"/>
          <w:color w:val="auto"/>
          <w:spacing w:val="-3"/>
          <w:sz w:val="30"/>
          <w:szCs w:val="30"/>
          <w:highlight w:val="none"/>
          <w:lang w:val="en-US" w:eastAsia="zh-CN"/>
        </w:rPr>
        <w:t>1</w:t>
      </w:r>
      <w:r>
        <w:rPr>
          <w:rFonts w:hint="eastAsia" w:ascii="仿宋_GB2312" w:hAnsi="仿宋_GB2312" w:eastAsia="仿宋_GB2312" w:cs="仿宋_GB2312"/>
          <w:color w:val="auto"/>
          <w:spacing w:val="-3"/>
          <w:sz w:val="30"/>
          <w:szCs w:val="30"/>
          <w:highlight w:val="none"/>
          <w:lang w:eastAsia="zh-CN"/>
        </w:rPr>
        <w:t>）预验收完成后，乙方按甲方要求的请款模版提交请款资料及甲乙双方签字的漏点记录确认单、有效等额的增值税发票，甲方需在15个工作日内</w:t>
      </w:r>
      <w:r>
        <w:rPr>
          <w:rFonts w:hint="eastAsia" w:ascii="仿宋_GB2312" w:hAnsi="仿宋_GB2312" w:eastAsia="仿宋_GB2312" w:cs="仿宋_GB2312"/>
          <w:color w:val="000000" w:themeColor="text1"/>
          <w:spacing w:val="-3"/>
          <w:sz w:val="30"/>
          <w:szCs w:val="30"/>
          <w:highlight w:val="none"/>
          <w:lang w:eastAsia="zh-CN"/>
          <w14:textFill>
            <w14:solidFill>
              <w14:schemeClr w14:val="tx1"/>
            </w14:solidFill>
          </w14:textFill>
        </w:rPr>
        <w:t>支付</w:t>
      </w:r>
      <w:r>
        <w:rPr>
          <w:rFonts w:hint="eastAsia" w:ascii="仿宋_GB2312" w:hAnsi="仿宋_GB2312" w:eastAsia="仿宋_GB2312" w:cs="仿宋_GB2312"/>
          <w:color w:val="000000" w:themeColor="text1"/>
          <w:spacing w:val="-3"/>
          <w:sz w:val="30"/>
          <w:szCs w:val="30"/>
          <w:highlight w:val="none"/>
          <w:lang w:val="en-US" w:eastAsia="zh-CN"/>
          <w14:textFill>
            <w14:solidFill>
              <w14:schemeClr w14:val="tx1"/>
            </w14:solidFill>
          </w14:textFill>
        </w:rPr>
        <w:t>70</w:t>
      </w:r>
      <w:r>
        <w:rPr>
          <w:rFonts w:hint="eastAsia" w:ascii="仿宋_GB2312" w:hAnsi="仿宋_GB2312" w:eastAsia="仿宋_GB2312" w:cs="仿宋_GB2312"/>
          <w:color w:val="000000" w:themeColor="text1"/>
          <w:spacing w:val="-3"/>
          <w:sz w:val="30"/>
          <w:szCs w:val="30"/>
          <w:highlight w:val="none"/>
          <w:lang w:eastAsia="zh-CN"/>
          <w14:textFill>
            <w14:solidFill>
              <w14:schemeClr w14:val="tx1"/>
            </w14:solidFill>
          </w14:textFill>
        </w:rPr>
        <w:t>%的合同费用给乙方；最终验收完成后，乙方按甲方要求的请款模版提交请款资料及甲乙双方签字的漏点记录确认单、有效等额的增值税发票，甲方需在15个工作日内，支付剩余合同价</w:t>
      </w:r>
      <w:r>
        <w:rPr>
          <w:rFonts w:hint="eastAsia" w:ascii="仿宋_GB2312" w:hAnsi="仿宋_GB2312" w:eastAsia="仿宋_GB2312" w:cs="仿宋_GB2312"/>
          <w:color w:val="000000" w:themeColor="text1"/>
          <w:spacing w:val="-3"/>
          <w:sz w:val="30"/>
          <w:szCs w:val="30"/>
          <w:highlight w:val="none"/>
          <w:lang w:val="en-US" w:eastAsia="zh-CN"/>
          <w14:textFill>
            <w14:solidFill>
              <w14:schemeClr w14:val="tx1"/>
            </w14:solidFill>
          </w14:textFill>
        </w:rPr>
        <w:t>30</w:t>
      </w:r>
      <w:r>
        <w:rPr>
          <w:rFonts w:hint="eastAsia" w:ascii="仿宋_GB2312" w:hAnsi="仿宋_GB2312" w:eastAsia="仿宋_GB2312" w:cs="仿宋_GB2312"/>
          <w:color w:val="000000" w:themeColor="text1"/>
          <w:spacing w:val="-3"/>
          <w:sz w:val="30"/>
          <w:szCs w:val="30"/>
          <w:highlight w:val="none"/>
          <w:lang w:eastAsia="zh-CN"/>
          <w14:textFill>
            <w14:solidFill>
              <w14:schemeClr w14:val="tx1"/>
            </w14:solidFill>
          </w14:textFill>
        </w:rPr>
        <w:t>%的检测服务费给乙方；</w:t>
      </w:r>
    </w:p>
    <w:p w14:paraId="119BFC20">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000000" w:themeColor="text1"/>
          <w:spacing w:val="-3"/>
          <w:sz w:val="30"/>
          <w:szCs w:val="30"/>
          <w:highlight w:val="none"/>
          <w14:textFill>
            <w14:solidFill>
              <w14:schemeClr w14:val="tx1"/>
            </w14:solidFill>
          </w14:textFill>
        </w:rPr>
      </w:pPr>
      <w:r>
        <w:rPr>
          <w:rFonts w:hint="eastAsia" w:ascii="仿宋_GB2312" w:hAnsi="仿宋_GB2312" w:eastAsia="仿宋_GB2312" w:cs="仿宋_GB2312"/>
          <w:color w:val="000000" w:themeColor="text1"/>
          <w:spacing w:val="-3"/>
          <w:sz w:val="30"/>
          <w:szCs w:val="30"/>
          <w:highlight w:val="none"/>
          <w14:textFill>
            <w14:solidFill>
              <w14:schemeClr w14:val="tx1"/>
            </w14:solidFill>
          </w14:textFill>
        </w:rPr>
        <w:t>（</w:t>
      </w:r>
      <w:r>
        <w:rPr>
          <w:rFonts w:hint="eastAsia" w:ascii="仿宋_GB2312" w:hAnsi="仿宋_GB2312" w:eastAsia="仿宋_GB2312" w:cs="仿宋_GB2312"/>
          <w:color w:val="000000" w:themeColor="text1"/>
          <w:spacing w:val="-3"/>
          <w:sz w:val="30"/>
          <w:szCs w:val="30"/>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spacing w:val="-3"/>
          <w:sz w:val="30"/>
          <w:szCs w:val="30"/>
          <w:highlight w:val="none"/>
          <w14:textFill>
            <w14:solidFill>
              <w14:schemeClr w14:val="tx1"/>
            </w14:solidFill>
          </w14:textFill>
        </w:rPr>
        <w:t>）支付方式：甲方通过银行转账支付至乙方账户，乙方需在甲方付款前提供</w:t>
      </w:r>
      <w:r>
        <w:rPr>
          <w:rFonts w:hint="eastAsia" w:ascii="仿宋_GB2312" w:hAnsi="仿宋_GB2312" w:eastAsia="仿宋_GB2312" w:cs="仿宋_GB2312"/>
          <w:color w:val="000000" w:themeColor="text1"/>
          <w:spacing w:val="-3"/>
          <w:sz w:val="30"/>
          <w:szCs w:val="30"/>
          <w:highlight w:val="none"/>
          <w:lang w:eastAsia="zh-CN"/>
          <w14:textFill>
            <w14:solidFill>
              <w14:schemeClr w14:val="tx1"/>
            </w14:solidFill>
          </w14:textFill>
        </w:rPr>
        <w:t>等额</w:t>
      </w:r>
      <w:r>
        <w:rPr>
          <w:rFonts w:hint="eastAsia" w:ascii="仿宋_GB2312" w:hAnsi="仿宋_GB2312" w:eastAsia="仿宋_GB2312" w:cs="仿宋_GB2312"/>
          <w:color w:val="000000" w:themeColor="text1"/>
          <w:spacing w:val="-3"/>
          <w:sz w:val="30"/>
          <w:szCs w:val="30"/>
          <w:highlight w:val="none"/>
          <w14:textFill>
            <w14:solidFill>
              <w14:schemeClr w14:val="tx1"/>
            </w14:solidFill>
          </w14:textFill>
        </w:rPr>
        <w:t>合法有效的增值税专用发票，否则甲方有权顺延付款，不承担违约责任。</w:t>
      </w:r>
    </w:p>
    <w:p w14:paraId="2C6FEC94">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90" w:firstLineChars="200"/>
        <w:jc w:val="both"/>
        <w:textAlignment w:val="baseline"/>
        <w:rPr>
          <w:rFonts w:hint="eastAsia" w:ascii="仿宋_GB2312" w:hAnsi="仿宋_GB2312" w:eastAsia="仿宋_GB2312" w:cs="仿宋_GB2312"/>
          <w:b/>
          <w:bCs/>
          <w:color w:val="auto"/>
          <w:spacing w:val="-3"/>
          <w:sz w:val="30"/>
          <w:szCs w:val="30"/>
          <w:highlight w:val="none"/>
        </w:rPr>
      </w:pPr>
      <w:r>
        <w:rPr>
          <w:rFonts w:hint="eastAsia" w:ascii="仿宋_GB2312" w:hAnsi="仿宋_GB2312" w:eastAsia="仿宋_GB2312" w:cs="仿宋_GB2312"/>
          <w:b/>
          <w:bCs/>
          <w:color w:val="auto"/>
          <w:spacing w:val="-3"/>
          <w:sz w:val="30"/>
          <w:szCs w:val="30"/>
          <w:highlight w:val="none"/>
        </w:rPr>
        <w:t>第七条 工期与延期处理</w:t>
      </w:r>
    </w:p>
    <w:p w14:paraId="51B7B60B">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7.1 工期：自甲方提供完整技术资料且乙方收到甲方书面进场通知之日起，总工期为</w:t>
      </w:r>
      <w:r>
        <w:rPr>
          <w:rFonts w:hint="eastAsia" w:ascii="仿宋_GB2312" w:hAnsi="仿宋_GB2312" w:eastAsia="仿宋_GB2312" w:cs="仿宋_GB2312"/>
          <w:color w:val="auto"/>
          <w:spacing w:val="-3"/>
          <w:sz w:val="30"/>
          <w:szCs w:val="30"/>
          <w:highlight w:val="none"/>
          <w:lang w:val="en-US" w:eastAsia="zh-CN"/>
        </w:rPr>
        <w:t>15</w:t>
      </w:r>
      <w:r>
        <w:rPr>
          <w:rFonts w:hint="eastAsia" w:ascii="仿宋_GB2312" w:hAnsi="仿宋_GB2312" w:eastAsia="仿宋_GB2312" w:cs="仿宋_GB2312"/>
          <w:color w:val="auto"/>
          <w:spacing w:val="-3"/>
          <w:sz w:val="30"/>
          <w:szCs w:val="30"/>
          <w:highlight w:val="none"/>
        </w:rPr>
        <w:t>个工作日；</w:t>
      </w:r>
    </w:p>
    <w:p w14:paraId="4DA7A53F">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7.2 工期顺延情形：</w:t>
      </w:r>
    </w:p>
    <w:p w14:paraId="5AFFDE64">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val="en-US" w:eastAsia="zh-CN"/>
        </w:rPr>
      </w:pPr>
      <w:r>
        <w:rPr>
          <w:rFonts w:hint="eastAsia" w:ascii="仿宋_GB2312" w:hAnsi="仿宋_GB2312" w:eastAsia="仿宋_GB2312" w:cs="仿宋_GB2312"/>
          <w:color w:val="auto"/>
          <w:spacing w:val="-3"/>
          <w:sz w:val="30"/>
          <w:szCs w:val="30"/>
          <w:highlight w:val="none"/>
          <w:lang w:val="en-US" w:eastAsia="zh-CN"/>
        </w:rPr>
        <w:t>若因雨季（包括常规雨季）、现场环境噪声等非乙方原因造成乙方停工的，工期按实际延误天数予以顺延；</w:t>
      </w:r>
    </w:p>
    <w:p w14:paraId="42B86096">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7.3 乙方逾期完工：若因乙方自身原因（如人员设备不足、技术失误）导致工期延误，每逾期1个工作日，按合同总金额</w:t>
      </w:r>
      <w:r>
        <w:rPr>
          <w:rFonts w:hint="eastAsia" w:ascii="仿宋_GB2312" w:hAnsi="仿宋_GB2312" w:eastAsia="仿宋_GB2312" w:cs="仿宋_GB2312"/>
          <w:color w:val="auto"/>
          <w:spacing w:val="-3"/>
          <w:sz w:val="30"/>
          <w:szCs w:val="30"/>
          <w:highlight w:val="none"/>
          <w:lang w:eastAsia="zh-CN"/>
        </w:rPr>
        <w:t>（</w:t>
      </w:r>
      <w:r>
        <w:rPr>
          <w:rFonts w:hint="eastAsia" w:ascii="仿宋_GB2312" w:hAnsi="仿宋_GB2312" w:eastAsia="仿宋_GB2312" w:cs="仿宋_GB2312"/>
          <w:color w:val="auto"/>
          <w:spacing w:val="-3"/>
          <w:sz w:val="30"/>
          <w:szCs w:val="30"/>
          <w:highlight w:val="none"/>
        </w:rPr>
        <w:t>含税</w:t>
      </w:r>
      <w:r>
        <w:rPr>
          <w:rFonts w:hint="eastAsia" w:ascii="仿宋_GB2312" w:hAnsi="仿宋_GB2312" w:eastAsia="仿宋_GB2312" w:cs="仿宋_GB2312"/>
          <w:color w:val="auto"/>
          <w:spacing w:val="-3"/>
          <w:sz w:val="30"/>
          <w:szCs w:val="30"/>
          <w:highlight w:val="none"/>
          <w:lang w:eastAsia="zh-CN"/>
        </w:rPr>
        <w:t>）</w:t>
      </w:r>
      <w:r>
        <w:rPr>
          <w:rFonts w:hint="eastAsia" w:ascii="仿宋_GB2312" w:hAnsi="仿宋_GB2312" w:eastAsia="仿宋_GB2312" w:cs="仿宋_GB2312"/>
          <w:color w:val="auto"/>
          <w:spacing w:val="-3"/>
          <w:sz w:val="30"/>
          <w:szCs w:val="30"/>
          <w:highlight w:val="none"/>
        </w:rPr>
        <w:t>的</w:t>
      </w:r>
      <w:r>
        <w:rPr>
          <w:rFonts w:hint="eastAsia" w:ascii="仿宋_GB2312" w:hAnsi="仿宋_GB2312" w:eastAsia="仿宋_GB2312" w:cs="仿宋_GB2312"/>
          <w:color w:val="auto"/>
          <w:spacing w:val="-3"/>
          <w:sz w:val="30"/>
          <w:szCs w:val="30"/>
          <w:highlight w:val="none"/>
          <w:lang w:val="en-US" w:eastAsia="zh-CN"/>
        </w:rPr>
        <w:t>1</w:t>
      </w:r>
      <w:r>
        <w:rPr>
          <w:rFonts w:hint="eastAsia" w:ascii="仿宋_GB2312" w:hAnsi="仿宋_GB2312" w:eastAsia="仿宋_GB2312" w:cs="仿宋_GB2312"/>
          <w:color w:val="auto"/>
          <w:spacing w:val="-3"/>
          <w:sz w:val="30"/>
          <w:szCs w:val="30"/>
          <w:highlight w:val="none"/>
        </w:rPr>
        <w:t>%向甲方支付违约金，甲方有权解除合同。</w:t>
      </w:r>
    </w:p>
    <w:p w14:paraId="27F44D2E">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90"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b/>
          <w:bCs/>
          <w:color w:val="auto"/>
          <w:spacing w:val="-3"/>
          <w:sz w:val="30"/>
          <w:szCs w:val="30"/>
          <w:highlight w:val="none"/>
        </w:rPr>
        <w:t>第八条</w:t>
      </w:r>
      <w:r>
        <w:rPr>
          <w:rFonts w:hint="eastAsia" w:ascii="仿宋_GB2312" w:hAnsi="仿宋_GB2312" w:eastAsia="仿宋_GB2312" w:cs="仿宋_GB2312"/>
          <w:color w:val="auto"/>
          <w:spacing w:val="-3"/>
          <w:sz w:val="30"/>
          <w:szCs w:val="30"/>
          <w:highlight w:val="none"/>
        </w:rPr>
        <w:t xml:space="preserve"> </w:t>
      </w:r>
      <w:r>
        <w:rPr>
          <w:rFonts w:hint="eastAsia" w:ascii="仿宋_GB2312" w:hAnsi="仿宋_GB2312" w:eastAsia="仿宋_GB2312" w:cs="仿宋_GB2312"/>
          <w:b/>
          <w:bCs/>
          <w:color w:val="auto"/>
          <w:spacing w:val="-3"/>
          <w:sz w:val="30"/>
          <w:szCs w:val="30"/>
          <w:highlight w:val="none"/>
          <w:lang w:val="en-US" w:eastAsia="zh-CN"/>
        </w:rPr>
        <w:t>提供</w:t>
      </w:r>
      <w:r>
        <w:rPr>
          <w:rFonts w:hint="eastAsia" w:ascii="仿宋_GB2312" w:hAnsi="仿宋_GB2312" w:eastAsia="仿宋_GB2312" w:cs="仿宋_GB2312"/>
          <w:b/>
          <w:bCs/>
          <w:color w:val="auto"/>
          <w:spacing w:val="-3"/>
          <w:sz w:val="30"/>
          <w:szCs w:val="30"/>
          <w:highlight w:val="none"/>
        </w:rPr>
        <w:t>漏损控制技术服务</w:t>
      </w:r>
      <w:r>
        <w:rPr>
          <w:rFonts w:hint="eastAsia" w:ascii="仿宋_GB2312" w:hAnsi="仿宋_GB2312" w:eastAsia="仿宋_GB2312" w:cs="仿宋_GB2312"/>
          <w:b/>
          <w:bCs/>
          <w:color w:val="auto"/>
          <w:spacing w:val="-3"/>
          <w:sz w:val="30"/>
          <w:szCs w:val="30"/>
          <w:highlight w:val="none"/>
          <w:lang w:val="en-US" w:eastAsia="zh-CN"/>
        </w:rPr>
        <w:t>条件及内容</w:t>
      </w:r>
    </w:p>
    <w:p w14:paraId="61F49738">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val="en-US" w:eastAsia="zh-CN"/>
        </w:rPr>
      </w:pPr>
      <w:r>
        <w:rPr>
          <w:rFonts w:hint="eastAsia" w:ascii="仿宋_GB2312" w:hAnsi="仿宋_GB2312" w:eastAsia="仿宋_GB2312" w:cs="仿宋_GB2312"/>
          <w:color w:val="auto"/>
          <w:spacing w:val="-3"/>
          <w:sz w:val="30"/>
          <w:szCs w:val="30"/>
          <w:highlight w:val="none"/>
          <w:lang w:val="en-US" w:eastAsia="zh-CN"/>
        </w:rPr>
        <w:t>8.1提供继续技术服务的条件：乙方完成合同约定的全部检测内容并通过甲方验收及全部漏点经甲方维修施工完毕后，甲方可要求乙方提供为期12个月的漏损控制技术服务。服务期间，乙方应根据甲方实际需求，定期提交漏损分析报告，并对关键节点进行远程监测或现场巡检。若系统运行中出现异常漏损情况，乙方须在接到通知后24小时内响应，48小时内提出解决方案并协助处理。技术服务所需的人员、设备、差旅等相关费用，均已包含在合同总价（含税）内，乙方不得就此项服务另行向甲方主张任何形式的费用收取或补偿。</w:t>
      </w:r>
    </w:p>
    <w:p w14:paraId="7EBEEF20">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val="en-US" w:eastAsia="zh-CN"/>
        </w:rPr>
      </w:pPr>
      <w:r>
        <w:rPr>
          <w:rFonts w:hint="eastAsia" w:ascii="仿宋_GB2312" w:hAnsi="仿宋_GB2312" w:eastAsia="仿宋_GB2312" w:cs="仿宋_GB2312"/>
          <w:color w:val="auto"/>
          <w:spacing w:val="-3"/>
          <w:sz w:val="30"/>
          <w:szCs w:val="30"/>
          <w:highlight w:val="none"/>
          <w:lang w:val="en-US" w:eastAsia="zh-CN"/>
        </w:rPr>
        <w:t>8.2 提供技术服务的内容</w:t>
      </w:r>
    </w:p>
    <w:p w14:paraId="25CC34A0">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（1）每月向甲方提交《管网漏损率分析报告》（基于甲方提供的供水量、售水量数据）；</w:t>
      </w:r>
    </w:p>
    <w:p w14:paraId="4408B519">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（2）推荐符合行业标准的压力表、流量计、水表品牌及型号（不指定供应商）；</w:t>
      </w:r>
    </w:p>
    <w:p w14:paraId="706B804A">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（3）提供管网压力调整的技术建议（需结合甲方实际运行数据）；</w:t>
      </w:r>
    </w:p>
    <w:p w14:paraId="53CCBD92">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eastAsia="zh-CN"/>
        </w:rPr>
      </w:pPr>
      <w:r>
        <w:rPr>
          <w:rFonts w:hint="eastAsia" w:ascii="仿宋_GB2312" w:hAnsi="仿宋_GB2312" w:eastAsia="仿宋_GB2312" w:cs="仿宋_GB2312"/>
          <w:color w:val="auto"/>
          <w:spacing w:val="-3"/>
          <w:sz w:val="30"/>
          <w:szCs w:val="30"/>
          <w:highlight w:val="none"/>
        </w:rPr>
        <w:t>（4）协助甲方计算月度漏损率（公式按《城镇供水管网漏损控制及评定标准》执行）</w:t>
      </w:r>
      <w:r>
        <w:rPr>
          <w:rFonts w:hint="eastAsia" w:ascii="仿宋_GB2312" w:hAnsi="仿宋_GB2312" w:eastAsia="仿宋_GB2312" w:cs="仿宋_GB2312"/>
          <w:color w:val="auto"/>
          <w:spacing w:val="-3"/>
          <w:sz w:val="30"/>
          <w:szCs w:val="30"/>
          <w:highlight w:val="none"/>
          <w:lang w:eastAsia="zh-CN"/>
        </w:rPr>
        <w:t>。</w:t>
      </w:r>
    </w:p>
    <w:p w14:paraId="273F9C4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default" w:ascii="仿宋_GB2312" w:hAnsi="仿宋_GB2312" w:eastAsia="仿宋_GB2312" w:cs="仿宋_GB2312"/>
          <w:color w:val="auto"/>
          <w:spacing w:val="-3"/>
          <w:sz w:val="30"/>
          <w:szCs w:val="30"/>
          <w:highlight w:val="none"/>
          <w:lang w:val="en-US" w:eastAsia="zh-CN"/>
        </w:rPr>
      </w:pPr>
      <w:r>
        <w:rPr>
          <w:rFonts w:hint="eastAsia" w:ascii="仿宋_GB2312" w:hAnsi="仿宋_GB2312" w:eastAsia="仿宋_GB2312" w:cs="仿宋_GB2312"/>
          <w:color w:val="auto"/>
          <w:spacing w:val="-3"/>
          <w:sz w:val="30"/>
          <w:szCs w:val="30"/>
          <w:highlight w:val="none"/>
          <w:lang w:val="en-US" w:eastAsia="zh-CN"/>
        </w:rPr>
        <w:t xml:space="preserve">8.3 </w:t>
      </w:r>
      <w:r>
        <w:rPr>
          <w:rFonts w:hint="eastAsia" w:ascii="仿宋_GB2312" w:hAnsi="仿宋_GB2312" w:eastAsia="仿宋_GB2312" w:cs="仿宋_GB2312"/>
          <w:color w:val="auto"/>
          <w:spacing w:val="-3"/>
          <w:sz w:val="30"/>
          <w:szCs w:val="30"/>
          <w:highlight w:val="none"/>
          <w:lang w:eastAsia="zh-CN"/>
        </w:rPr>
        <w:t>若乙方未按甲方要求时间提供本合同第八条第 8.2 项约定的漏损控制技术服务，或系统运行中出现异常漏损时未按合同约定期限提出并落实解决方案的，每逾期一日，应按合同总金额（含税）的 1% 向甲方支付违约金。若该违约金不足以弥补甲方损失，乙方还应承担全部赔偿责任。</w:t>
      </w:r>
    </w:p>
    <w:p w14:paraId="226A4B19">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8.</w:t>
      </w:r>
      <w:r>
        <w:rPr>
          <w:rFonts w:hint="eastAsia" w:ascii="仿宋_GB2312" w:hAnsi="仿宋_GB2312" w:eastAsia="仿宋_GB2312" w:cs="仿宋_GB2312"/>
          <w:color w:val="auto"/>
          <w:spacing w:val="-3"/>
          <w:sz w:val="30"/>
          <w:szCs w:val="30"/>
          <w:highlight w:val="none"/>
          <w:lang w:val="en-US" w:eastAsia="zh-CN"/>
        </w:rPr>
        <w:t>4</w:t>
      </w:r>
      <w:r>
        <w:rPr>
          <w:rFonts w:hint="eastAsia" w:ascii="仿宋_GB2312" w:hAnsi="仿宋_GB2312" w:eastAsia="仿宋_GB2312" w:cs="仿宋_GB2312"/>
          <w:color w:val="auto"/>
          <w:spacing w:val="-3"/>
          <w:sz w:val="30"/>
          <w:szCs w:val="30"/>
          <w:highlight w:val="none"/>
        </w:rPr>
        <w:t xml:space="preserve"> 漏损控制技术服务终止</w:t>
      </w:r>
      <w:r>
        <w:rPr>
          <w:rFonts w:hint="eastAsia" w:ascii="仿宋_GB2312" w:hAnsi="仿宋_GB2312" w:eastAsia="仿宋_GB2312" w:cs="仿宋_GB2312"/>
          <w:color w:val="auto"/>
          <w:spacing w:val="-3"/>
          <w:sz w:val="30"/>
          <w:szCs w:val="30"/>
          <w:highlight w:val="none"/>
          <w:lang w:val="en-US" w:eastAsia="zh-CN"/>
        </w:rPr>
        <w:t>条件</w:t>
      </w:r>
      <w:r>
        <w:rPr>
          <w:rFonts w:hint="eastAsia" w:ascii="仿宋_GB2312" w:hAnsi="仿宋_GB2312" w:eastAsia="仿宋_GB2312" w:cs="仿宋_GB2312"/>
          <w:color w:val="auto"/>
          <w:spacing w:val="-3"/>
          <w:sz w:val="30"/>
          <w:szCs w:val="30"/>
          <w:highlight w:val="none"/>
        </w:rPr>
        <w:t>：</w:t>
      </w:r>
    </w:p>
    <w:p w14:paraId="2DC50376">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eastAsia="zh-CN"/>
        </w:rPr>
      </w:pPr>
      <w:r>
        <w:rPr>
          <w:rFonts w:hint="eastAsia" w:ascii="仿宋_GB2312" w:hAnsi="仿宋_GB2312" w:eastAsia="仿宋_GB2312" w:cs="仿宋_GB2312"/>
          <w:color w:val="auto"/>
          <w:spacing w:val="-3"/>
          <w:sz w:val="30"/>
          <w:szCs w:val="30"/>
          <w:highlight w:val="none"/>
        </w:rPr>
        <w:t>上述</w:t>
      </w:r>
      <w:r>
        <w:rPr>
          <w:rFonts w:hint="eastAsia" w:ascii="仿宋_GB2312" w:hAnsi="仿宋_GB2312" w:eastAsia="仿宋_GB2312" w:cs="仿宋_GB2312"/>
          <w:color w:val="auto"/>
          <w:spacing w:val="-3"/>
          <w:sz w:val="30"/>
          <w:szCs w:val="30"/>
          <w:highlight w:val="none"/>
          <w:lang w:val="en-US" w:eastAsia="zh-CN"/>
        </w:rPr>
        <w:t>12</w:t>
      </w:r>
      <w:r>
        <w:rPr>
          <w:rFonts w:hint="eastAsia" w:ascii="仿宋_GB2312" w:hAnsi="仿宋_GB2312" w:eastAsia="仿宋_GB2312" w:cs="仿宋_GB2312"/>
          <w:color w:val="auto"/>
          <w:spacing w:val="-3"/>
          <w:sz w:val="30"/>
          <w:szCs w:val="30"/>
          <w:highlight w:val="none"/>
        </w:rPr>
        <w:t>个月服务期届满，本条款项下服务自动终止</w:t>
      </w:r>
      <w:r>
        <w:rPr>
          <w:rFonts w:hint="eastAsia" w:ascii="仿宋_GB2312" w:hAnsi="仿宋_GB2312" w:eastAsia="仿宋_GB2312" w:cs="仿宋_GB2312"/>
          <w:color w:val="auto"/>
          <w:spacing w:val="-3"/>
          <w:sz w:val="30"/>
          <w:szCs w:val="30"/>
          <w:highlight w:val="none"/>
          <w:lang w:eastAsia="zh-CN"/>
        </w:rPr>
        <w:t>。</w:t>
      </w:r>
    </w:p>
    <w:p w14:paraId="555D1491">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90" w:firstLineChars="200"/>
        <w:jc w:val="both"/>
        <w:textAlignment w:val="baseline"/>
        <w:rPr>
          <w:rFonts w:hint="eastAsia" w:ascii="仿宋_GB2312" w:hAnsi="仿宋_GB2312" w:eastAsia="仿宋_GB2312" w:cs="仿宋_GB2312"/>
          <w:b/>
          <w:bCs/>
          <w:color w:val="auto"/>
          <w:spacing w:val="-3"/>
          <w:sz w:val="30"/>
          <w:szCs w:val="30"/>
          <w:highlight w:val="none"/>
        </w:rPr>
      </w:pPr>
      <w:r>
        <w:rPr>
          <w:rFonts w:hint="eastAsia" w:ascii="仿宋_GB2312" w:hAnsi="仿宋_GB2312" w:eastAsia="仿宋_GB2312" w:cs="仿宋_GB2312"/>
          <w:b/>
          <w:bCs/>
          <w:color w:val="auto"/>
          <w:spacing w:val="-3"/>
          <w:sz w:val="30"/>
          <w:szCs w:val="30"/>
          <w:highlight w:val="none"/>
        </w:rPr>
        <w:t>第九条 违约责任</w:t>
      </w:r>
    </w:p>
    <w:p w14:paraId="17C327BE">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val="en-US" w:eastAsia="zh-CN"/>
        </w:rPr>
      </w:pPr>
      <w:r>
        <w:rPr>
          <w:rFonts w:hint="eastAsia" w:ascii="仿宋_GB2312" w:hAnsi="仿宋_GB2312" w:eastAsia="仿宋_GB2312" w:cs="仿宋_GB2312"/>
          <w:color w:val="auto"/>
          <w:spacing w:val="-3"/>
          <w:sz w:val="30"/>
          <w:szCs w:val="30"/>
          <w:highlight w:val="none"/>
          <w:lang w:val="en-US" w:eastAsia="zh-CN"/>
        </w:rPr>
        <w:t>9.1 甲方违约责任：</w:t>
      </w:r>
    </w:p>
    <w:p w14:paraId="7AD89688">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default" w:ascii="仿宋_GB2312" w:hAnsi="仿宋_GB2312" w:eastAsia="仿宋_GB2312" w:cs="仿宋_GB2312"/>
          <w:color w:val="auto"/>
          <w:spacing w:val="-3"/>
          <w:sz w:val="30"/>
          <w:szCs w:val="30"/>
          <w:highlight w:val="none"/>
          <w:lang w:val="en-US" w:eastAsia="zh-CN"/>
        </w:rPr>
      </w:pPr>
      <w:r>
        <w:rPr>
          <w:rFonts w:hint="eastAsia" w:ascii="仿宋_GB2312" w:hAnsi="仿宋_GB2312" w:eastAsia="仿宋_GB2312" w:cs="仿宋_GB2312"/>
          <w:color w:val="auto"/>
          <w:spacing w:val="-3"/>
          <w:sz w:val="30"/>
          <w:szCs w:val="30"/>
          <w:highlight w:val="none"/>
          <w:lang w:val="en-US" w:eastAsia="zh-CN"/>
        </w:rPr>
        <w:t>甲方未按约定支付检测服务费，每逾期一天按应付未付的1‰支付违约金，违约金上限不超过合同总额的1%；</w:t>
      </w:r>
    </w:p>
    <w:p w14:paraId="5C12E0BA">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9.2 乙方违约责任：</w:t>
      </w:r>
    </w:p>
    <w:p w14:paraId="49CE9607">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（1）检测结果弄虚作假（如虚报漏点</w:t>
      </w:r>
      <w:r>
        <w:rPr>
          <w:rFonts w:hint="eastAsia" w:ascii="仿宋_GB2312" w:hAnsi="仿宋_GB2312" w:eastAsia="仿宋_GB2312" w:cs="仿宋_GB2312"/>
          <w:color w:val="auto"/>
          <w:spacing w:val="-3"/>
          <w:sz w:val="30"/>
          <w:szCs w:val="30"/>
          <w:highlight w:val="none"/>
          <w:lang w:val="en-US" w:eastAsia="zh-CN"/>
        </w:rPr>
        <w:t>资料</w:t>
      </w:r>
      <w:r>
        <w:rPr>
          <w:rFonts w:hint="eastAsia" w:ascii="仿宋_GB2312" w:hAnsi="仿宋_GB2312" w:eastAsia="仿宋_GB2312" w:cs="仿宋_GB2312"/>
          <w:color w:val="auto"/>
          <w:spacing w:val="-3"/>
          <w:sz w:val="30"/>
          <w:szCs w:val="30"/>
          <w:highlight w:val="none"/>
        </w:rPr>
        <w:t>），甲方有权拒付费用</w:t>
      </w:r>
      <w:r>
        <w:rPr>
          <w:rFonts w:hint="eastAsia" w:ascii="仿宋_GB2312" w:hAnsi="仿宋_GB2312" w:eastAsia="仿宋_GB2312" w:cs="仿宋_GB2312"/>
          <w:color w:val="auto"/>
          <w:spacing w:val="-3"/>
          <w:sz w:val="30"/>
          <w:szCs w:val="30"/>
          <w:highlight w:val="none"/>
          <w:lang w:eastAsia="zh-CN"/>
        </w:rPr>
        <w:t>，</w:t>
      </w:r>
      <w:r>
        <w:rPr>
          <w:rFonts w:hint="eastAsia" w:ascii="仿宋_GB2312" w:hAnsi="仿宋_GB2312" w:eastAsia="仿宋_GB2312" w:cs="仿宋_GB2312"/>
          <w:color w:val="auto"/>
          <w:spacing w:val="-3"/>
          <w:sz w:val="30"/>
          <w:szCs w:val="30"/>
          <w:highlight w:val="none"/>
        </w:rPr>
        <w:t>乙方需退还已收款项并按合同总金额</w:t>
      </w:r>
      <w:r>
        <w:rPr>
          <w:rFonts w:hint="eastAsia" w:ascii="仿宋_GB2312" w:hAnsi="仿宋_GB2312" w:eastAsia="仿宋_GB2312" w:cs="仿宋_GB2312"/>
          <w:color w:val="auto"/>
          <w:spacing w:val="-3"/>
          <w:sz w:val="30"/>
          <w:szCs w:val="30"/>
          <w:highlight w:val="none"/>
          <w:lang w:eastAsia="zh-CN"/>
        </w:rPr>
        <w:t>（</w:t>
      </w:r>
      <w:r>
        <w:rPr>
          <w:rFonts w:hint="eastAsia" w:ascii="仿宋_GB2312" w:hAnsi="仿宋_GB2312" w:eastAsia="仿宋_GB2312" w:cs="仿宋_GB2312"/>
          <w:color w:val="auto"/>
          <w:spacing w:val="-3"/>
          <w:sz w:val="30"/>
          <w:szCs w:val="30"/>
          <w:highlight w:val="none"/>
        </w:rPr>
        <w:t>含税</w:t>
      </w:r>
      <w:r>
        <w:rPr>
          <w:rFonts w:hint="eastAsia" w:ascii="仿宋_GB2312" w:hAnsi="仿宋_GB2312" w:eastAsia="仿宋_GB2312" w:cs="仿宋_GB2312"/>
          <w:color w:val="auto"/>
          <w:spacing w:val="-3"/>
          <w:sz w:val="30"/>
          <w:szCs w:val="30"/>
          <w:highlight w:val="none"/>
          <w:lang w:eastAsia="zh-CN"/>
        </w:rPr>
        <w:t>）</w:t>
      </w:r>
      <w:r>
        <w:rPr>
          <w:rFonts w:hint="eastAsia" w:ascii="仿宋_GB2312" w:hAnsi="仿宋_GB2312" w:eastAsia="仿宋_GB2312" w:cs="仿宋_GB2312"/>
          <w:color w:val="auto"/>
          <w:spacing w:val="-3"/>
          <w:sz w:val="30"/>
          <w:szCs w:val="30"/>
          <w:highlight w:val="none"/>
        </w:rPr>
        <w:t>的</w:t>
      </w:r>
      <w:r>
        <w:rPr>
          <w:rFonts w:hint="eastAsia" w:ascii="仿宋_GB2312" w:hAnsi="仿宋_GB2312" w:eastAsia="仿宋_GB2312" w:cs="仿宋_GB2312"/>
          <w:color w:val="auto"/>
          <w:spacing w:val="-3"/>
          <w:sz w:val="30"/>
          <w:szCs w:val="30"/>
          <w:highlight w:val="none"/>
          <w:lang w:val="en-US" w:eastAsia="zh-CN"/>
        </w:rPr>
        <w:t>2</w:t>
      </w:r>
      <w:r>
        <w:rPr>
          <w:rFonts w:hint="eastAsia" w:ascii="仿宋_GB2312" w:hAnsi="仿宋_GB2312" w:eastAsia="仿宋_GB2312" w:cs="仿宋_GB2312"/>
          <w:color w:val="auto"/>
          <w:spacing w:val="-3"/>
          <w:sz w:val="30"/>
          <w:szCs w:val="30"/>
          <w:highlight w:val="none"/>
        </w:rPr>
        <w:t>0%向甲方支付违约金</w:t>
      </w:r>
      <w:r>
        <w:rPr>
          <w:rFonts w:hint="eastAsia" w:ascii="仿宋_GB2312" w:hAnsi="仿宋_GB2312" w:eastAsia="仿宋_GB2312" w:cs="仿宋_GB2312"/>
          <w:color w:val="auto"/>
          <w:spacing w:val="-3"/>
          <w:sz w:val="30"/>
          <w:szCs w:val="30"/>
          <w:highlight w:val="none"/>
          <w:lang w:eastAsia="zh-CN"/>
        </w:rPr>
        <w:t>，并承担由此造成甲方所有损失；</w:t>
      </w:r>
    </w:p>
    <w:p w14:paraId="0EF5EFEE">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eastAsia="zh-CN"/>
        </w:rPr>
      </w:pPr>
      <w:r>
        <w:rPr>
          <w:rFonts w:hint="eastAsia" w:ascii="仿宋_GB2312" w:hAnsi="仿宋_GB2312" w:eastAsia="仿宋_GB2312" w:cs="仿宋_GB2312"/>
          <w:color w:val="auto"/>
          <w:spacing w:val="-3"/>
          <w:sz w:val="30"/>
          <w:szCs w:val="30"/>
          <w:highlight w:val="none"/>
        </w:rPr>
        <w:t>（2）</w:t>
      </w:r>
      <w:r>
        <w:rPr>
          <w:rFonts w:hint="eastAsia" w:ascii="仿宋_GB2312" w:hAnsi="仿宋_GB2312" w:eastAsia="仿宋_GB2312" w:cs="仿宋_GB2312"/>
          <w:color w:val="auto"/>
          <w:spacing w:val="-3"/>
          <w:sz w:val="30"/>
          <w:szCs w:val="30"/>
          <w:highlight w:val="none"/>
          <w:lang w:val="en-US" w:eastAsia="zh-CN"/>
        </w:rPr>
        <w:t>因乙方导致</w:t>
      </w:r>
      <w:r>
        <w:rPr>
          <w:rFonts w:hint="eastAsia" w:ascii="仿宋_GB2312" w:hAnsi="仿宋_GB2312" w:eastAsia="仿宋_GB2312" w:cs="仿宋_GB2312"/>
          <w:color w:val="auto"/>
          <w:spacing w:val="-3"/>
          <w:sz w:val="30"/>
          <w:szCs w:val="30"/>
          <w:highlight w:val="none"/>
        </w:rPr>
        <w:t>安全事故，由乙方</w:t>
      </w:r>
      <w:r>
        <w:rPr>
          <w:rFonts w:hint="eastAsia" w:ascii="仿宋_GB2312" w:hAnsi="仿宋_GB2312" w:eastAsia="仿宋_GB2312" w:cs="仿宋_GB2312"/>
          <w:color w:val="auto"/>
          <w:spacing w:val="-3"/>
          <w:sz w:val="30"/>
          <w:szCs w:val="30"/>
          <w:highlight w:val="none"/>
          <w:lang w:eastAsia="zh-CN"/>
        </w:rPr>
        <w:t>自行</w:t>
      </w:r>
      <w:r>
        <w:rPr>
          <w:rFonts w:hint="eastAsia" w:ascii="仿宋_GB2312" w:hAnsi="仿宋_GB2312" w:eastAsia="仿宋_GB2312" w:cs="仿宋_GB2312"/>
          <w:color w:val="auto"/>
          <w:spacing w:val="-3"/>
          <w:sz w:val="30"/>
          <w:szCs w:val="30"/>
          <w:highlight w:val="none"/>
        </w:rPr>
        <w:t>承担全部责任（包括医疗费、赔偿金、行政罚款等）</w:t>
      </w:r>
      <w:r>
        <w:rPr>
          <w:rFonts w:hint="eastAsia" w:ascii="仿宋_GB2312" w:hAnsi="仿宋_GB2312" w:eastAsia="仿宋_GB2312" w:cs="仿宋_GB2312"/>
          <w:color w:val="auto"/>
          <w:spacing w:val="-3"/>
          <w:sz w:val="30"/>
          <w:szCs w:val="30"/>
          <w:highlight w:val="none"/>
          <w:lang w:eastAsia="zh-CN"/>
        </w:rPr>
        <w:t>；</w:t>
      </w:r>
    </w:p>
    <w:p w14:paraId="0C48C3B6">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eastAsia="zh-CN"/>
        </w:rPr>
      </w:pPr>
      <w:r>
        <w:rPr>
          <w:rFonts w:hint="eastAsia" w:ascii="仿宋_GB2312" w:hAnsi="仿宋_GB2312" w:eastAsia="仿宋_GB2312" w:cs="仿宋_GB2312"/>
          <w:color w:val="auto"/>
          <w:spacing w:val="-3"/>
          <w:sz w:val="30"/>
          <w:szCs w:val="30"/>
          <w:highlight w:val="none"/>
          <w:lang w:eastAsia="zh-CN"/>
        </w:rPr>
        <w:t>（</w:t>
      </w:r>
      <w:r>
        <w:rPr>
          <w:rFonts w:hint="eastAsia" w:ascii="仿宋_GB2312" w:hAnsi="仿宋_GB2312" w:eastAsia="仿宋_GB2312" w:cs="仿宋_GB2312"/>
          <w:color w:val="auto"/>
          <w:spacing w:val="-3"/>
          <w:sz w:val="30"/>
          <w:szCs w:val="30"/>
          <w:highlight w:val="none"/>
          <w:lang w:val="en-US" w:eastAsia="zh-CN"/>
        </w:rPr>
        <w:t>3</w:t>
      </w:r>
      <w:r>
        <w:rPr>
          <w:rFonts w:hint="eastAsia" w:ascii="仿宋_GB2312" w:hAnsi="仿宋_GB2312" w:eastAsia="仿宋_GB2312" w:cs="仿宋_GB2312"/>
          <w:color w:val="auto"/>
          <w:spacing w:val="-3"/>
          <w:sz w:val="30"/>
          <w:szCs w:val="30"/>
          <w:highlight w:val="none"/>
          <w:lang w:eastAsia="zh-CN"/>
        </w:rPr>
        <w:t>）如乙方存在擅自中止工作、擅自取消后期技术服务、损坏检测成果等违约行为，甲方有权中止付款并解除合同，乙方同时还应向甲方支付合同总金额 10% 的违约金。若该违约金不足以弥补甲方损失（包括但不限于项目延误损失、重新检测成本、第三方索赔款等），乙方</w:t>
      </w:r>
      <w:r>
        <w:rPr>
          <w:rFonts w:hint="eastAsia" w:ascii="仿宋_GB2312" w:hAnsi="仿宋_GB2312" w:eastAsia="仿宋_GB2312" w:cs="仿宋_GB2312"/>
          <w:color w:val="auto"/>
          <w:spacing w:val="-3"/>
          <w:sz w:val="30"/>
          <w:szCs w:val="30"/>
          <w:highlight w:val="none"/>
          <w:lang w:val="en-US" w:eastAsia="zh-CN"/>
        </w:rPr>
        <w:t>需</w:t>
      </w:r>
      <w:r>
        <w:rPr>
          <w:rFonts w:hint="eastAsia" w:ascii="仿宋_GB2312" w:hAnsi="仿宋_GB2312" w:eastAsia="仿宋_GB2312" w:cs="仿宋_GB2312"/>
          <w:color w:val="auto"/>
          <w:spacing w:val="-3"/>
          <w:sz w:val="30"/>
          <w:szCs w:val="30"/>
          <w:highlight w:val="none"/>
          <w:lang w:eastAsia="zh-CN"/>
        </w:rPr>
        <w:t>承担全部赔偿责任。</w:t>
      </w:r>
    </w:p>
    <w:p w14:paraId="2E08CACB">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90" w:firstLineChars="200"/>
        <w:jc w:val="both"/>
        <w:textAlignment w:val="baseline"/>
        <w:rPr>
          <w:rFonts w:hint="eastAsia" w:ascii="仿宋_GB2312" w:hAnsi="仿宋_GB2312" w:eastAsia="仿宋_GB2312" w:cs="仿宋_GB2312"/>
          <w:b/>
          <w:bCs/>
          <w:color w:val="auto"/>
          <w:spacing w:val="-3"/>
          <w:sz w:val="30"/>
          <w:szCs w:val="30"/>
          <w:highlight w:val="none"/>
        </w:rPr>
      </w:pPr>
      <w:r>
        <w:rPr>
          <w:rFonts w:hint="eastAsia" w:ascii="仿宋_GB2312" w:hAnsi="仿宋_GB2312" w:eastAsia="仿宋_GB2312" w:cs="仿宋_GB2312"/>
          <w:b/>
          <w:bCs/>
          <w:color w:val="auto"/>
          <w:spacing w:val="-3"/>
          <w:sz w:val="30"/>
          <w:szCs w:val="30"/>
          <w:highlight w:val="none"/>
        </w:rPr>
        <w:t>第十条 保密条款</w:t>
      </w:r>
    </w:p>
    <w:p w14:paraId="3B1F391D">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lang w:val="en-US" w:eastAsia="zh-CN"/>
        </w:rPr>
        <w:t>10</w:t>
      </w:r>
      <w:r>
        <w:rPr>
          <w:rFonts w:hint="eastAsia" w:ascii="仿宋_GB2312" w:hAnsi="仿宋_GB2312" w:eastAsia="仿宋_GB2312" w:cs="仿宋_GB2312"/>
          <w:color w:val="auto"/>
          <w:spacing w:val="-3"/>
          <w:sz w:val="30"/>
          <w:szCs w:val="30"/>
          <w:highlight w:val="none"/>
        </w:rPr>
        <w:t>.1 甲方需保密乙方的检测技术方案、设备信息、报价单等商业秘密，不得向第三方泄露（乙方书面同意除外）；</w:t>
      </w:r>
    </w:p>
    <w:p w14:paraId="3995AB34">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lang w:val="en-US" w:eastAsia="zh-CN"/>
        </w:rPr>
        <w:t>10</w:t>
      </w:r>
      <w:r>
        <w:rPr>
          <w:rFonts w:hint="eastAsia" w:ascii="仿宋_GB2312" w:hAnsi="仿宋_GB2312" w:eastAsia="仿宋_GB2312" w:cs="仿宋_GB2312"/>
          <w:color w:val="auto"/>
          <w:spacing w:val="-3"/>
          <w:sz w:val="30"/>
          <w:szCs w:val="30"/>
          <w:highlight w:val="none"/>
        </w:rPr>
        <w:t>.2 乙方需保密甲方的管网技术资料、漏点数据、经营数据（如漏损率）等商业秘密，不得用于本合同以外的其他项目；</w:t>
      </w:r>
    </w:p>
    <w:p w14:paraId="039932FB">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lang w:val="en-US" w:eastAsia="zh-CN"/>
        </w:rPr>
        <w:t>10</w:t>
      </w:r>
      <w:r>
        <w:rPr>
          <w:rFonts w:hint="eastAsia" w:ascii="仿宋_GB2312" w:hAnsi="仿宋_GB2312" w:eastAsia="仿宋_GB2312" w:cs="仿宋_GB2312"/>
          <w:color w:val="auto"/>
          <w:spacing w:val="-3"/>
          <w:sz w:val="30"/>
          <w:szCs w:val="30"/>
          <w:highlight w:val="none"/>
        </w:rPr>
        <w:t>.3 任何一方违反保密义务，需向对方支付合同总金额</w:t>
      </w:r>
      <w:r>
        <w:rPr>
          <w:rFonts w:hint="eastAsia" w:ascii="仿宋_GB2312" w:hAnsi="仿宋_GB2312" w:eastAsia="仿宋_GB2312" w:cs="仿宋_GB2312"/>
          <w:color w:val="auto"/>
          <w:spacing w:val="-3"/>
          <w:sz w:val="30"/>
          <w:szCs w:val="30"/>
          <w:highlight w:val="none"/>
          <w:lang w:eastAsia="zh-CN"/>
        </w:rPr>
        <w:t>（</w:t>
      </w:r>
      <w:r>
        <w:rPr>
          <w:rFonts w:hint="eastAsia" w:ascii="仿宋_GB2312" w:hAnsi="仿宋_GB2312" w:eastAsia="仿宋_GB2312" w:cs="仿宋_GB2312"/>
          <w:color w:val="auto"/>
          <w:spacing w:val="-3"/>
          <w:sz w:val="30"/>
          <w:szCs w:val="30"/>
          <w:highlight w:val="none"/>
        </w:rPr>
        <w:t>含税</w:t>
      </w:r>
      <w:r>
        <w:rPr>
          <w:rFonts w:hint="eastAsia" w:ascii="仿宋_GB2312" w:hAnsi="仿宋_GB2312" w:eastAsia="仿宋_GB2312" w:cs="仿宋_GB2312"/>
          <w:color w:val="auto"/>
          <w:spacing w:val="-3"/>
          <w:sz w:val="30"/>
          <w:szCs w:val="30"/>
          <w:highlight w:val="none"/>
          <w:lang w:eastAsia="zh-CN"/>
        </w:rPr>
        <w:t>）</w:t>
      </w:r>
      <w:r>
        <w:rPr>
          <w:rFonts w:hint="eastAsia" w:ascii="仿宋_GB2312" w:hAnsi="仿宋_GB2312" w:eastAsia="仿宋_GB2312" w:cs="仿宋_GB2312"/>
          <w:color w:val="auto"/>
          <w:spacing w:val="-3"/>
          <w:sz w:val="30"/>
          <w:szCs w:val="30"/>
          <w:highlight w:val="none"/>
        </w:rPr>
        <w:t>的20%作为违约金，若造成对方实际损失超过违约金，需补足差额。</w:t>
      </w:r>
    </w:p>
    <w:p w14:paraId="039ED45D">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90" w:firstLineChars="200"/>
        <w:jc w:val="both"/>
        <w:textAlignment w:val="baseline"/>
        <w:rPr>
          <w:rFonts w:hint="eastAsia" w:ascii="仿宋_GB2312" w:hAnsi="仿宋_GB2312" w:eastAsia="仿宋_GB2312" w:cs="仿宋_GB2312"/>
          <w:b/>
          <w:bCs/>
          <w:color w:val="auto"/>
          <w:spacing w:val="-3"/>
          <w:sz w:val="30"/>
          <w:szCs w:val="30"/>
          <w:highlight w:val="none"/>
        </w:rPr>
      </w:pPr>
      <w:r>
        <w:rPr>
          <w:rFonts w:hint="eastAsia" w:ascii="仿宋_GB2312" w:hAnsi="仿宋_GB2312" w:eastAsia="仿宋_GB2312" w:cs="仿宋_GB2312"/>
          <w:b/>
          <w:bCs/>
          <w:color w:val="auto"/>
          <w:spacing w:val="-3"/>
          <w:sz w:val="30"/>
          <w:szCs w:val="30"/>
          <w:highlight w:val="none"/>
        </w:rPr>
        <w:t>第十</w:t>
      </w:r>
      <w:r>
        <w:rPr>
          <w:rFonts w:hint="eastAsia" w:ascii="仿宋_GB2312" w:hAnsi="仿宋_GB2312" w:eastAsia="仿宋_GB2312" w:cs="仿宋_GB2312"/>
          <w:b/>
          <w:bCs/>
          <w:color w:val="auto"/>
          <w:spacing w:val="-3"/>
          <w:sz w:val="30"/>
          <w:szCs w:val="30"/>
          <w:highlight w:val="none"/>
          <w:lang w:val="en-US" w:eastAsia="zh-CN"/>
        </w:rPr>
        <w:t>一</w:t>
      </w:r>
      <w:r>
        <w:rPr>
          <w:rFonts w:hint="eastAsia" w:ascii="仿宋_GB2312" w:hAnsi="仿宋_GB2312" w:eastAsia="仿宋_GB2312" w:cs="仿宋_GB2312"/>
          <w:b/>
          <w:bCs/>
          <w:color w:val="auto"/>
          <w:spacing w:val="-3"/>
          <w:sz w:val="30"/>
          <w:szCs w:val="30"/>
          <w:highlight w:val="none"/>
        </w:rPr>
        <w:t>条 补充协议与附件</w:t>
      </w:r>
    </w:p>
    <w:p w14:paraId="431CF188">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eastAsia="zh-CN"/>
        </w:rPr>
      </w:pPr>
      <w:r>
        <w:rPr>
          <w:rFonts w:hint="eastAsia" w:ascii="仿宋_GB2312" w:hAnsi="仿宋_GB2312" w:eastAsia="仿宋_GB2312" w:cs="仿宋_GB2312"/>
          <w:color w:val="auto"/>
          <w:spacing w:val="-3"/>
          <w:sz w:val="30"/>
          <w:szCs w:val="30"/>
          <w:highlight w:val="none"/>
          <w:lang w:val="en-US" w:eastAsia="zh-CN"/>
        </w:rPr>
        <w:t>11</w:t>
      </w:r>
      <w:r>
        <w:rPr>
          <w:rFonts w:hint="eastAsia" w:ascii="仿宋_GB2312" w:hAnsi="仿宋_GB2312" w:eastAsia="仿宋_GB2312" w:cs="仿宋_GB2312"/>
          <w:color w:val="auto"/>
          <w:spacing w:val="-3"/>
          <w:sz w:val="30"/>
          <w:szCs w:val="30"/>
          <w:highlight w:val="none"/>
        </w:rPr>
        <w:t>.1 本合同未尽事宜，双方可签订补充协议，补充协议与本合同具有同等法律效力</w:t>
      </w:r>
      <w:r>
        <w:rPr>
          <w:rFonts w:hint="eastAsia" w:ascii="仿宋_GB2312" w:hAnsi="仿宋_GB2312" w:eastAsia="仿宋_GB2312" w:cs="仿宋_GB2312"/>
          <w:color w:val="auto"/>
          <w:spacing w:val="-3"/>
          <w:sz w:val="30"/>
          <w:szCs w:val="30"/>
          <w:highlight w:val="none"/>
          <w:lang w:eastAsia="zh-CN"/>
        </w:rPr>
        <w:t>。</w:t>
      </w:r>
    </w:p>
    <w:p w14:paraId="745B418C">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90" w:firstLineChars="200"/>
        <w:jc w:val="both"/>
        <w:textAlignment w:val="baseline"/>
        <w:rPr>
          <w:rFonts w:hint="eastAsia" w:ascii="仿宋_GB2312" w:hAnsi="仿宋_GB2312" w:eastAsia="仿宋_GB2312" w:cs="仿宋_GB2312"/>
          <w:b/>
          <w:bCs/>
          <w:color w:val="auto"/>
          <w:spacing w:val="-3"/>
          <w:sz w:val="30"/>
          <w:szCs w:val="30"/>
          <w:highlight w:val="none"/>
        </w:rPr>
      </w:pPr>
      <w:r>
        <w:rPr>
          <w:rFonts w:hint="eastAsia" w:ascii="仿宋_GB2312" w:hAnsi="仿宋_GB2312" w:eastAsia="仿宋_GB2312" w:cs="仿宋_GB2312"/>
          <w:b/>
          <w:bCs/>
          <w:color w:val="auto"/>
          <w:spacing w:val="-3"/>
          <w:sz w:val="30"/>
          <w:szCs w:val="30"/>
          <w:highlight w:val="none"/>
        </w:rPr>
        <w:t>第十</w:t>
      </w:r>
      <w:r>
        <w:rPr>
          <w:rFonts w:hint="eastAsia" w:ascii="仿宋_GB2312" w:hAnsi="仿宋_GB2312" w:eastAsia="仿宋_GB2312" w:cs="仿宋_GB2312"/>
          <w:b/>
          <w:bCs/>
          <w:color w:val="auto"/>
          <w:spacing w:val="-3"/>
          <w:sz w:val="30"/>
          <w:szCs w:val="30"/>
          <w:highlight w:val="none"/>
          <w:lang w:val="en-US" w:eastAsia="zh-CN"/>
        </w:rPr>
        <w:t>二</w:t>
      </w:r>
      <w:r>
        <w:rPr>
          <w:rFonts w:hint="eastAsia" w:ascii="仿宋_GB2312" w:hAnsi="仿宋_GB2312" w:eastAsia="仿宋_GB2312" w:cs="仿宋_GB2312"/>
          <w:b/>
          <w:bCs/>
          <w:color w:val="auto"/>
          <w:spacing w:val="-3"/>
          <w:sz w:val="30"/>
          <w:szCs w:val="30"/>
          <w:highlight w:val="none"/>
        </w:rPr>
        <w:t>条 争议解决</w:t>
      </w:r>
    </w:p>
    <w:p w14:paraId="745F36EA">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rPr>
        <w:t>因本合同履行产生的争议，双方首先通过友好协商解决；协商不成的，任何一方有权向甲方所在地有管辖权的人民法院提起诉讼。</w:t>
      </w:r>
    </w:p>
    <w:p w14:paraId="00AF8ED2">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90" w:firstLineChars="200"/>
        <w:jc w:val="both"/>
        <w:textAlignment w:val="baseline"/>
        <w:rPr>
          <w:rFonts w:hint="eastAsia" w:ascii="仿宋_GB2312" w:hAnsi="仿宋_GB2312" w:eastAsia="仿宋_GB2312" w:cs="仿宋_GB2312"/>
          <w:b/>
          <w:bCs/>
          <w:color w:val="auto"/>
          <w:spacing w:val="-3"/>
          <w:sz w:val="30"/>
          <w:szCs w:val="30"/>
          <w:highlight w:val="none"/>
        </w:rPr>
      </w:pPr>
      <w:r>
        <w:rPr>
          <w:rFonts w:hint="eastAsia" w:ascii="仿宋_GB2312" w:hAnsi="仿宋_GB2312" w:eastAsia="仿宋_GB2312" w:cs="仿宋_GB2312"/>
          <w:b/>
          <w:bCs/>
          <w:color w:val="auto"/>
          <w:spacing w:val="-3"/>
          <w:sz w:val="30"/>
          <w:szCs w:val="30"/>
          <w:highlight w:val="none"/>
        </w:rPr>
        <w:t>第十</w:t>
      </w:r>
      <w:r>
        <w:rPr>
          <w:rFonts w:hint="eastAsia" w:ascii="仿宋_GB2312" w:hAnsi="仿宋_GB2312" w:eastAsia="仿宋_GB2312" w:cs="仿宋_GB2312"/>
          <w:b/>
          <w:bCs/>
          <w:color w:val="auto"/>
          <w:spacing w:val="-3"/>
          <w:sz w:val="30"/>
          <w:szCs w:val="30"/>
          <w:highlight w:val="none"/>
          <w:lang w:val="en-US" w:eastAsia="zh-CN"/>
        </w:rPr>
        <w:t>三</w:t>
      </w:r>
      <w:r>
        <w:rPr>
          <w:rFonts w:hint="eastAsia" w:ascii="仿宋_GB2312" w:hAnsi="仿宋_GB2312" w:eastAsia="仿宋_GB2312" w:cs="仿宋_GB2312"/>
          <w:b/>
          <w:bCs/>
          <w:color w:val="auto"/>
          <w:spacing w:val="-3"/>
          <w:sz w:val="30"/>
          <w:szCs w:val="30"/>
          <w:highlight w:val="none"/>
        </w:rPr>
        <w:t>条 合同生效与终止</w:t>
      </w:r>
    </w:p>
    <w:p w14:paraId="239F2CEA">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lang w:val="en-US" w:eastAsia="zh-CN"/>
        </w:rPr>
        <w:t>13.</w:t>
      </w:r>
      <w:r>
        <w:rPr>
          <w:rFonts w:hint="eastAsia" w:ascii="仿宋_GB2312" w:hAnsi="仿宋_GB2312" w:eastAsia="仿宋_GB2312" w:cs="仿宋_GB2312"/>
          <w:color w:val="auto"/>
          <w:spacing w:val="-3"/>
          <w:sz w:val="30"/>
          <w:szCs w:val="30"/>
          <w:highlight w:val="none"/>
        </w:rPr>
        <w:t>1 本合同自双方法定代表人 / 授权代表人签字并加盖公章（或合同专用章）之日起生效；</w:t>
      </w:r>
    </w:p>
    <w:p w14:paraId="712EFA09">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lang w:eastAsia="zh-CN"/>
        </w:rPr>
      </w:pPr>
      <w:r>
        <w:rPr>
          <w:rFonts w:hint="eastAsia" w:ascii="仿宋_GB2312" w:hAnsi="仿宋_GB2312" w:eastAsia="仿宋_GB2312" w:cs="仿宋_GB2312"/>
          <w:color w:val="auto"/>
          <w:spacing w:val="-3"/>
          <w:sz w:val="30"/>
          <w:szCs w:val="30"/>
          <w:highlight w:val="none"/>
          <w:lang w:val="en-US" w:eastAsia="zh-CN"/>
        </w:rPr>
        <w:t>13</w:t>
      </w:r>
      <w:r>
        <w:rPr>
          <w:rFonts w:hint="eastAsia" w:ascii="仿宋_GB2312" w:hAnsi="仿宋_GB2312" w:eastAsia="仿宋_GB2312" w:cs="仿宋_GB2312"/>
          <w:color w:val="auto"/>
          <w:spacing w:val="-3"/>
          <w:sz w:val="30"/>
          <w:szCs w:val="30"/>
          <w:highlight w:val="none"/>
        </w:rPr>
        <w:t>.2 本合同终止情形：（1）双方履行完毕全部义务；（2）合同解除</w:t>
      </w:r>
      <w:r>
        <w:rPr>
          <w:rFonts w:hint="eastAsia" w:ascii="仿宋_GB2312" w:hAnsi="仿宋_GB2312" w:eastAsia="仿宋_GB2312" w:cs="仿宋_GB2312"/>
          <w:color w:val="auto"/>
          <w:spacing w:val="-3"/>
          <w:sz w:val="30"/>
          <w:szCs w:val="30"/>
          <w:highlight w:val="none"/>
          <w:lang w:eastAsia="zh-CN"/>
        </w:rPr>
        <w:t>。</w:t>
      </w:r>
    </w:p>
    <w:p w14:paraId="40A31CBD">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90" w:firstLineChars="200"/>
        <w:jc w:val="both"/>
        <w:textAlignment w:val="baseline"/>
        <w:rPr>
          <w:rFonts w:hint="eastAsia" w:ascii="仿宋_GB2312" w:hAnsi="仿宋_GB2312" w:eastAsia="仿宋_GB2312" w:cs="仿宋_GB2312"/>
          <w:b/>
          <w:bCs/>
          <w:color w:val="auto"/>
          <w:spacing w:val="-3"/>
          <w:sz w:val="30"/>
          <w:szCs w:val="30"/>
          <w:highlight w:val="none"/>
        </w:rPr>
      </w:pPr>
      <w:r>
        <w:rPr>
          <w:rFonts w:hint="eastAsia" w:ascii="仿宋_GB2312" w:hAnsi="仿宋_GB2312" w:eastAsia="仿宋_GB2312" w:cs="仿宋_GB2312"/>
          <w:b/>
          <w:bCs/>
          <w:color w:val="auto"/>
          <w:spacing w:val="-3"/>
          <w:sz w:val="30"/>
          <w:szCs w:val="30"/>
          <w:highlight w:val="none"/>
        </w:rPr>
        <w:t>第十</w:t>
      </w:r>
      <w:r>
        <w:rPr>
          <w:rFonts w:hint="eastAsia" w:ascii="仿宋_GB2312" w:hAnsi="仿宋_GB2312" w:eastAsia="仿宋_GB2312" w:cs="仿宋_GB2312"/>
          <w:b/>
          <w:bCs/>
          <w:color w:val="auto"/>
          <w:spacing w:val="-3"/>
          <w:sz w:val="30"/>
          <w:szCs w:val="30"/>
          <w:highlight w:val="none"/>
          <w:lang w:val="en-US" w:eastAsia="zh-CN"/>
        </w:rPr>
        <w:t>四</w:t>
      </w:r>
      <w:r>
        <w:rPr>
          <w:rFonts w:hint="eastAsia" w:ascii="仿宋_GB2312" w:hAnsi="仿宋_GB2312" w:eastAsia="仿宋_GB2312" w:cs="仿宋_GB2312"/>
          <w:b/>
          <w:bCs/>
          <w:color w:val="auto"/>
          <w:spacing w:val="-3"/>
          <w:sz w:val="30"/>
          <w:szCs w:val="30"/>
          <w:highlight w:val="none"/>
        </w:rPr>
        <w:t>条 其他</w:t>
      </w:r>
    </w:p>
    <w:p w14:paraId="6214089A">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lang w:val="en-US" w:eastAsia="zh-CN"/>
        </w:rPr>
        <w:t>14</w:t>
      </w:r>
      <w:r>
        <w:rPr>
          <w:rFonts w:hint="eastAsia" w:ascii="仿宋_GB2312" w:hAnsi="仿宋_GB2312" w:eastAsia="仿宋_GB2312" w:cs="仿宋_GB2312"/>
          <w:color w:val="auto"/>
          <w:spacing w:val="-3"/>
          <w:sz w:val="30"/>
          <w:szCs w:val="30"/>
          <w:highlight w:val="none"/>
        </w:rPr>
        <w:t>.1 本合同一式肆份，甲方执贰份，乙方执贰份，具有同等法律效力；</w:t>
      </w:r>
    </w:p>
    <w:p w14:paraId="5CFC8D02">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r>
        <w:rPr>
          <w:rFonts w:hint="eastAsia" w:ascii="仿宋_GB2312" w:hAnsi="仿宋_GB2312" w:eastAsia="仿宋_GB2312" w:cs="仿宋_GB2312"/>
          <w:color w:val="auto"/>
          <w:spacing w:val="-3"/>
          <w:sz w:val="30"/>
          <w:szCs w:val="30"/>
          <w:highlight w:val="none"/>
          <w:lang w:val="en-US" w:eastAsia="zh-CN"/>
        </w:rPr>
        <w:t>14</w:t>
      </w:r>
      <w:r>
        <w:rPr>
          <w:rFonts w:hint="eastAsia" w:ascii="仿宋_GB2312" w:hAnsi="仿宋_GB2312" w:eastAsia="仿宋_GB2312" w:cs="仿宋_GB2312"/>
          <w:color w:val="auto"/>
          <w:spacing w:val="-3"/>
          <w:sz w:val="30"/>
          <w:szCs w:val="30"/>
          <w:highlight w:val="none"/>
        </w:rPr>
        <w:t>.2 本合同条款若与国家现行法律法规冲突，按法律法规执行，不影响其他条款的效力。</w:t>
      </w:r>
    </w:p>
    <w:p w14:paraId="1CE0BA71">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p>
    <w:p w14:paraId="564FD8CF">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p>
    <w:p w14:paraId="27D82F1D">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p>
    <w:p w14:paraId="6EC4CCE3">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p>
    <w:p w14:paraId="7314EDA1">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p>
    <w:p w14:paraId="24138202">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p>
    <w:p w14:paraId="5BF3471E">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p>
    <w:p w14:paraId="5FCF012E">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88" w:firstLineChars="200"/>
        <w:jc w:val="both"/>
        <w:textAlignment w:val="baseline"/>
        <w:rPr>
          <w:rFonts w:hint="eastAsia" w:ascii="仿宋_GB2312" w:hAnsi="仿宋_GB2312" w:eastAsia="仿宋_GB2312" w:cs="仿宋_GB2312"/>
          <w:color w:val="auto"/>
          <w:spacing w:val="-3"/>
          <w:sz w:val="30"/>
          <w:szCs w:val="30"/>
          <w:highlight w:val="none"/>
        </w:rPr>
      </w:pPr>
      <w:bookmarkStart w:id="0" w:name="_GoBack"/>
      <w:bookmarkEnd w:id="0"/>
    </w:p>
    <w:tbl>
      <w:tblPr>
        <w:tblStyle w:val="10"/>
        <w:tblpPr w:leftFromText="180" w:rightFromText="180" w:vertAnchor="text" w:horzAnchor="page" w:tblpX="1438" w:tblpY="761"/>
        <w:tblOverlap w:val="never"/>
        <w:tblW w:w="9004" w:type="dxa"/>
        <w:tblInd w:w="0" w:type="dxa"/>
        <w:tblLayout w:type="fixed"/>
        <w:tblCellMar>
          <w:top w:w="0" w:type="dxa"/>
          <w:left w:w="108" w:type="dxa"/>
          <w:bottom w:w="0" w:type="dxa"/>
          <w:right w:w="108" w:type="dxa"/>
        </w:tblCellMar>
      </w:tblPr>
      <w:tblGrid>
        <w:gridCol w:w="5113"/>
        <w:gridCol w:w="3891"/>
      </w:tblGrid>
      <w:tr w14:paraId="417C288B">
        <w:tblPrEx>
          <w:tblCellMar>
            <w:top w:w="0" w:type="dxa"/>
            <w:left w:w="108" w:type="dxa"/>
            <w:bottom w:w="0" w:type="dxa"/>
            <w:right w:w="108" w:type="dxa"/>
          </w:tblCellMar>
        </w:tblPrEx>
        <w:trPr>
          <w:trHeight w:val="874" w:hRule="atLeast"/>
        </w:trPr>
        <w:tc>
          <w:tcPr>
            <w:tcW w:w="5113" w:type="dxa"/>
            <w:noWrap/>
            <w:vAlign w:val="center"/>
          </w:tcPr>
          <w:p w14:paraId="2B4D79A4">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委托方(盖章)：</w:t>
            </w:r>
          </w:p>
        </w:tc>
        <w:tc>
          <w:tcPr>
            <w:tcW w:w="3891" w:type="dxa"/>
            <w:noWrap/>
            <w:vAlign w:val="center"/>
          </w:tcPr>
          <w:p w14:paraId="03133A67">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受托方(盖章)：</w:t>
            </w:r>
          </w:p>
        </w:tc>
      </w:tr>
      <w:tr w14:paraId="64E38CD8">
        <w:tblPrEx>
          <w:tblCellMar>
            <w:top w:w="0" w:type="dxa"/>
            <w:left w:w="108" w:type="dxa"/>
            <w:bottom w:w="0" w:type="dxa"/>
            <w:right w:w="108" w:type="dxa"/>
          </w:tblCellMar>
        </w:tblPrEx>
        <w:trPr>
          <w:trHeight w:val="1149" w:hRule="atLeast"/>
        </w:trPr>
        <w:tc>
          <w:tcPr>
            <w:tcW w:w="5113" w:type="dxa"/>
            <w:noWrap/>
            <w:vAlign w:val="center"/>
          </w:tcPr>
          <w:p w14:paraId="7BEFCCD5">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法定代表人或</w:t>
            </w:r>
          </w:p>
          <w:p w14:paraId="0AD551FF">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授权代理人(签字或盖章)：</w:t>
            </w:r>
          </w:p>
        </w:tc>
        <w:tc>
          <w:tcPr>
            <w:tcW w:w="3891" w:type="dxa"/>
            <w:noWrap/>
            <w:vAlign w:val="center"/>
          </w:tcPr>
          <w:p w14:paraId="3A40FB2A">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法定代表人或</w:t>
            </w:r>
          </w:p>
          <w:p w14:paraId="59AA17F4">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授权代理人(签字或盖章)：</w:t>
            </w:r>
          </w:p>
        </w:tc>
      </w:tr>
      <w:tr w14:paraId="460F0DB9">
        <w:tblPrEx>
          <w:tblCellMar>
            <w:top w:w="0" w:type="dxa"/>
            <w:left w:w="108" w:type="dxa"/>
            <w:bottom w:w="0" w:type="dxa"/>
            <w:right w:w="108" w:type="dxa"/>
          </w:tblCellMar>
        </w:tblPrEx>
        <w:trPr>
          <w:trHeight w:val="480" w:hRule="atLeast"/>
        </w:trPr>
        <w:tc>
          <w:tcPr>
            <w:tcW w:w="5113" w:type="dxa"/>
            <w:noWrap/>
            <w:vAlign w:val="center"/>
          </w:tcPr>
          <w:p w14:paraId="68C3B38E">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经 办 人：</w:t>
            </w:r>
          </w:p>
        </w:tc>
        <w:tc>
          <w:tcPr>
            <w:tcW w:w="3891" w:type="dxa"/>
            <w:noWrap/>
            <w:vAlign w:val="center"/>
          </w:tcPr>
          <w:p w14:paraId="174063E5">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联 系 人：</w:t>
            </w:r>
          </w:p>
        </w:tc>
      </w:tr>
      <w:tr w14:paraId="48D0AFAA">
        <w:tblPrEx>
          <w:tblCellMar>
            <w:top w:w="0" w:type="dxa"/>
            <w:left w:w="108" w:type="dxa"/>
            <w:bottom w:w="0" w:type="dxa"/>
            <w:right w:w="108" w:type="dxa"/>
          </w:tblCellMar>
        </w:tblPrEx>
        <w:trPr>
          <w:trHeight w:val="590" w:hRule="atLeast"/>
        </w:trPr>
        <w:tc>
          <w:tcPr>
            <w:tcW w:w="5113" w:type="dxa"/>
            <w:noWrap/>
            <w:vAlign w:val="center"/>
          </w:tcPr>
          <w:p w14:paraId="7F47BC5C">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电    话：</w:t>
            </w:r>
          </w:p>
        </w:tc>
        <w:tc>
          <w:tcPr>
            <w:tcW w:w="3891" w:type="dxa"/>
            <w:noWrap/>
            <w:vAlign w:val="center"/>
          </w:tcPr>
          <w:p w14:paraId="4D0D4809">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电    话：</w:t>
            </w:r>
          </w:p>
        </w:tc>
      </w:tr>
      <w:tr w14:paraId="3DD485B2">
        <w:tblPrEx>
          <w:tblCellMar>
            <w:top w:w="0" w:type="dxa"/>
            <w:left w:w="108" w:type="dxa"/>
            <w:bottom w:w="0" w:type="dxa"/>
            <w:right w:w="108" w:type="dxa"/>
          </w:tblCellMar>
        </w:tblPrEx>
        <w:trPr>
          <w:trHeight w:val="590" w:hRule="atLeast"/>
        </w:trPr>
        <w:tc>
          <w:tcPr>
            <w:tcW w:w="5113" w:type="dxa"/>
            <w:noWrap/>
            <w:vAlign w:val="center"/>
          </w:tcPr>
          <w:p w14:paraId="5A817F1A">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地    址：</w:t>
            </w:r>
            <w:r>
              <w:rPr>
                <w:rFonts w:hint="eastAsia" w:ascii="Times New Roman" w:hAnsi="Times New Roman" w:cs="Times New Roman"/>
                <w:color w:val="auto"/>
                <w:kern w:val="0"/>
                <w:sz w:val="24"/>
                <w:highlight w:val="none"/>
              </w:rPr>
              <w:t xml:space="preserve">河池市金城江区金碧路25号 </w:t>
            </w:r>
            <w:r>
              <w:rPr>
                <w:rFonts w:ascii="Times New Roman" w:hAnsi="Times New Roman" w:cs="Times New Roman"/>
                <w:color w:val="auto"/>
                <w:kern w:val="0"/>
                <w:sz w:val="24"/>
                <w:highlight w:val="none"/>
              </w:rPr>
              <w:t xml:space="preserve"> </w:t>
            </w:r>
            <w:r>
              <w:rPr>
                <w:rFonts w:hint="eastAsia"/>
                <w:color w:val="auto"/>
                <w:sz w:val="24"/>
                <w:highlight w:val="none"/>
              </w:rPr>
              <w:t xml:space="preserve"> </w:t>
            </w:r>
          </w:p>
        </w:tc>
        <w:tc>
          <w:tcPr>
            <w:tcW w:w="3891" w:type="dxa"/>
            <w:noWrap/>
            <w:vAlign w:val="center"/>
          </w:tcPr>
          <w:p w14:paraId="350DEDE6">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地    址：</w:t>
            </w:r>
          </w:p>
        </w:tc>
      </w:tr>
      <w:tr w14:paraId="448B26C7">
        <w:tblPrEx>
          <w:tblCellMar>
            <w:top w:w="0" w:type="dxa"/>
            <w:left w:w="108" w:type="dxa"/>
            <w:bottom w:w="0" w:type="dxa"/>
            <w:right w:w="108" w:type="dxa"/>
          </w:tblCellMar>
        </w:tblPrEx>
        <w:trPr>
          <w:trHeight w:val="435" w:hRule="atLeast"/>
        </w:trPr>
        <w:tc>
          <w:tcPr>
            <w:tcW w:w="5113" w:type="dxa"/>
            <w:noWrap/>
            <w:vAlign w:val="center"/>
          </w:tcPr>
          <w:p w14:paraId="2063ECDE">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 xml:space="preserve">电子邮箱： </w:t>
            </w:r>
          </w:p>
        </w:tc>
        <w:tc>
          <w:tcPr>
            <w:tcW w:w="3891" w:type="dxa"/>
            <w:noWrap/>
            <w:vAlign w:val="center"/>
          </w:tcPr>
          <w:p w14:paraId="5B583A85">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电子邮箱：</w:t>
            </w:r>
          </w:p>
        </w:tc>
      </w:tr>
      <w:tr w14:paraId="3FCABDEA">
        <w:tblPrEx>
          <w:tblCellMar>
            <w:top w:w="0" w:type="dxa"/>
            <w:left w:w="108" w:type="dxa"/>
            <w:bottom w:w="0" w:type="dxa"/>
            <w:right w:w="108" w:type="dxa"/>
          </w:tblCellMar>
        </w:tblPrEx>
        <w:trPr>
          <w:trHeight w:val="590" w:hRule="atLeast"/>
        </w:trPr>
        <w:tc>
          <w:tcPr>
            <w:tcW w:w="5113" w:type="dxa"/>
            <w:noWrap/>
            <w:vAlign w:val="center"/>
          </w:tcPr>
          <w:p w14:paraId="7EE47408">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开户名称：</w:t>
            </w:r>
          </w:p>
        </w:tc>
        <w:tc>
          <w:tcPr>
            <w:tcW w:w="3891" w:type="dxa"/>
            <w:noWrap/>
            <w:vAlign w:val="center"/>
          </w:tcPr>
          <w:p w14:paraId="105058AA">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开户名称：</w:t>
            </w:r>
          </w:p>
        </w:tc>
      </w:tr>
      <w:tr w14:paraId="00CA8C29">
        <w:tblPrEx>
          <w:tblCellMar>
            <w:top w:w="0" w:type="dxa"/>
            <w:left w:w="108" w:type="dxa"/>
            <w:bottom w:w="0" w:type="dxa"/>
            <w:right w:w="108" w:type="dxa"/>
          </w:tblCellMar>
        </w:tblPrEx>
        <w:trPr>
          <w:trHeight w:val="590" w:hRule="atLeast"/>
        </w:trPr>
        <w:tc>
          <w:tcPr>
            <w:tcW w:w="5113" w:type="dxa"/>
            <w:noWrap/>
            <w:vAlign w:val="center"/>
          </w:tcPr>
          <w:p w14:paraId="0802EFA0">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开户银行：</w:t>
            </w:r>
          </w:p>
        </w:tc>
        <w:tc>
          <w:tcPr>
            <w:tcW w:w="3891" w:type="dxa"/>
            <w:noWrap/>
            <w:vAlign w:val="center"/>
          </w:tcPr>
          <w:p w14:paraId="64C7CCBA">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开户银行：</w:t>
            </w:r>
          </w:p>
        </w:tc>
      </w:tr>
      <w:tr w14:paraId="0B6CEC38">
        <w:tblPrEx>
          <w:tblCellMar>
            <w:top w:w="0" w:type="dxa"/>
            <w:left w:w="108" w:type="dxa"/>
            <w:bottom w:w="0" w:type="dxa"/>
            <w:right w:w="108" w:type="dxa"/>
          </w:tblCellMar>
        </w:tblPrEx>
        <w:trPr>
          <w:trHeight w:val="590" w:hRule="atLeast"/>
        </w:trPr>
        <w:tc>
          <w:tcPr>
            <w:tcW w:w="5113" w:type="dxa"/>
            <w:noWrap/>
            <w:vAlign w:val="center"/>
          </w:tcPr>
          <w:p w14:paraId="06E17E6E">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账    号：</w:t>
            </w:r>
          </w:p>
        </w:tc>
        <w:tc>
          <w:tcPr>
            <w:tcW w:w="3891" w:type="dxa"/>
            <w:noWrap/>
            <w:vAlign w:val="center"/>
          </w:tcPr>
          <w:p w14:paraId="0FD5C10A">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账    号：</w:t>
            </w:r>
          </w:p>
        </w:tc>
      </w:tr>
      <w:tr w14:paraId="0D2E90EE">
        <w:tblPrEx>
          <w:tblCellMar>
            <w:top w:w="0" w:type="dxa"/>
            <w:left w:w="108" w:type="dxa"/>
            <w:bottom w:w="0" w:type="dxa"/>
            <w:right w:w="108" w:type="dxa"/>
          </w:tblCellMar>
        </w:tblPrEx>
        <w:trPr>
          <w:trHeight w:val="590" w:hRule="atLeast"/>
        </w:trPr>
        <w:tc>
          <w:tcPr>
            <w:tcW w:w="5113" w:type="dxa"/>
            <w:noWrap/>
            <w:vAlign w:val="center"/>
          </w:tcPr>
          <w:p w14:paraId="78A4D3EE">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社会信用代码：</w:t>
            </w:r>
          </w:p>
        </w:tc>
        <w:tc>
          <w:tcPr>
            <w:tcW w:w="3891" w:type="dxa"/>
            <w:noWrap/>
            <w:vAlign w:val="center"/>
          </w:tcPr>
          <w:p w14:paraId="294E42D0">
            <w:pPr>
              <w:keepNext w:val="0"/>
              <w:keepLines w:val="0"/>
              <w:suppressLineNumbers w:val="0"/>
              <w:spacing w:before="0" w:beforeAutospacing="0" w:after="0" w:afterAutospacing="0" w:line="600" w:lineRule="exact"/>
              <w:ind w:left="0" w:right="0"/>
              <w:rPr>
                <w:color w:val="auto"/>
                <w:sz w:val="24"/>
                <w:highlight w:val="none"/>
              </w:rPr>
            </w:pPr>
            <w:r>
              <w:rPr>
                <w:rFonts w:hint="eastAsia"/>
                <w:color w:val="auto"/>
                <w:sz w:val="24"/>
                <w:highlight w:val="none"/>
              </w:rPr>
              <w:t>社会信用代码：</w:t>
            </w:r>
          </w:p>
        </w:tc>
      </w:tr>
    </w:tbl>
    <w:p w14:paraId="2E5C9DC8">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628" w:firstLineChars="200"/>
        <w:jc w:val="both"/>
        <w:textAlignment w:val="baseline"/>
        <w:rPr>
          <w:rFonts w:hint="eastAsia" w:ascii="仿宋_GB2312" w:hAnsi="仿宋_GB2312" w:eastAsia="仿宋_GB2312" w:cs="仿宋_GB2312"/>
          <w:color w:val="auto"/>
          <w:spacing w:val="-3"/>
          <w:sz w:val="32"/>
          <w:szCs w:val="32"/>
          <w:highlight w:val="none"/>
        </w:rPr>
      </w:pPr>
    </w:p>
    <w:p w14:paraId="5DDA299A">
      <w:pPr>
        <w:pStyle w:val="6"/>
        <w:rPr>
          <w:rFonts w:hint="eastAsia"/>
          <w:color w:val="auto"/>
          <w:sz w:val="32"/>
          <w:szCs w:val="32"/>
          <w:highlight w:val="none"/>
          <w:lang w:val="en-US" w:eastAsia="zh-CN"/>
        </w:rPr>
      </w:pPr>
    </w:p>
    <w:p w14:paraId="34E0B542">
      <w:pPr>
        <w:pStyle w:val="6"/>
        <w:rPr>
          <w:rFonts w:hint="eastAsia"/>
          <w:color w:val="auto"/>
          <w:sz w:val="32"/>
          <w:szCs w:val="32"/>
          <w:highlight w:val="none"/>
          <w:lang w:val="en-US" w:eastAsia="zh-CN"/>
        </w:rPr>
      </w:pPr>
    </w:p>
    <w:sectPr>
      <w:headerReference r:id="rId4" w:type="default"/>
      <w:footerReference r:id="rId5" w:type="default"/>
      <w:pgSz w:w="11906" w:h="16838"/>
      <w:pgMar w:top="1304" w:right="1247" w:bottom="1304"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金山简黑体">
    <w:altName w:val="宋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1435C">
    <w:pPr>
      <w:spacing w:line="230" w:lineRule="exact"/>
      <w:ind w:left="4059"/>
      <w:rPr>
        <w:rFonts w:ascii="Calibri" w:hAnsi="Calibri" w:eastAsia="Calibri" w:cs="Calibri"/>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9DF2BC">
                          <w:pPr>
                            <w:pStyle w:val="6"/>
                          </w:pPr>
                          <w:r>
                            <w:t xml:space="preserve">— </w:t>
                          </w:r>
                          <w:r>
                            <w:rPr>
                              <w:sz w:val="22"/>
                              <w:szCs w:val="32"/>
                            </w:rPr>
                            <w:fldChar w:fldCharType="begin"/>
                          </w:r>
                          <w:r>
                            <w:rPr>
                              <w:sz w:val="22"/>
                              <w:szCs w:val="32"/>
                            </w:rPr>
                            <w:instrText xml:space="preserve"> PAGE  \* MERGEFORMAT </w:instrText>
                          </w:r>
                          <w:r>
                            <w:rPr>
                              <w:sz w:val="22"/>
                              <w:szCs w:val="32"/>
                            </w:rPr>
                            <w:fldChar w:fldCharType="separate"/>
                          </w:r>
                          <w:r>
                            <w:rPr>
                              <w:sz w:val="22"/>
                              <w:szCs w:val="32"/>
                            </w:rPr>
                            <w:t>1</w:t>
                          </w:r>
                          <w:r>
                            <w:rPr>
                              <w:sz w:val="22"/>
                              <w:szCs w:val="32"/>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B9DF2BC">
                    <w:pPr>
                      <w:pStyle w:val="6"/>
                    </w:pPr>
                    <w:r>
                      <w:t xml:space="preserve">— </w:t>
                    </w:r>
                    <w:r>
                      <w:rPr>
                        <w:sz w:val="22"/>
                        <w:szCs w:val="32"/>
                      </w:rPr>
                      <w:fldChar w:fldCharType="begin"/>
                    </w:r>
                    <w:r>
                      <w:rPr>
                        <w:sz w:val="22"/>
                        <w:szCs w:val="32"/>
                      </w:rPr>
                      <w:instrText xml:space="preserve"> PAGE  \* MERGEFORMAT </w:instrText>
                    </w:r>
                    <w:r>
                      <w:rPr>
                        <w:sz w:val="22"/>
                        <w:szCs w:val="32"/>
                      </w:rPr>
                      <w:fldChar w:fldCharType="separate"/>
                    </w:r>
                    <w:r>
                      <w:rPr>
                        <w:sz w:val="22"/>
                        <w:szCs w:val="32"/>
                      </w:rPr>
                      <w:t>1</w:t>
                    </w:r>
                    <w:r>
                      <w:rPr>
                        <w:sz w:val="22"/>
                        <w:szCs w:val="32"/>
                      </w:rP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AF9B2">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E6478E">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FE6478E">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C6F61D">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3B4018"/>
    <w:multiLevelType w:val="singleLevel"/>
    <w:tmpl w:val="713B4018"/>
    <w:lvl w:ilvl="0" w:tentative="0">
      <w:start w:val="1"/>
      <w:numFmt w:val="upperLetter"/>
      <w:pStyle w:val="2"/>
      <w:lvlText w:val="%1."/>
      <w:lvlJc w:val="left"/>
      <w:pPr>
        <w:tabs>
          <w:tab w:val="left" w:pos="315"/>
        </w:tabs>
        <w:ind w:left="315" w:hanging="315"/>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iNjZlMGZkMGY2ZDhhNjhhYzM2ZWNkZGQ1NTkwMzkifQ=="/>
  </w:docVars>
  <w:rsids>
    <w:rsidRoot w:val="53944F5A"/>
    <w:rsid w:val="0052726E"/>
    <w:rsid w:val="00DB3E35"/>
    <w:rsid w:val="01DB7ED5"/>
    <w:rsid w:val="028872B3"/>
    <w:rsid w:val="02F0790E"/>
    <w:rsid w:val="03576C1A"/>
    <w:rsid w:val="045A7BC6"/>
    <w:rsid w:val="05D40ED0"/>
    <w:rsid w:val="06CC3472"/>
    <w:rsid w:val="088C56C8"/>
    <w:rsid w:val="09183888"/>
    <w:rsid w:val="098220EE"/>
    <w:rsid w:val="0EDC0957"/>
    <w:rsid w:val="10383EE4"/>
    <w:rsid w:val="10801226"/>
    <w:rsid w:val="10E62C2A"/>
    <w:rsid w:val="12FD73A6"/>
    <w:rsid w:val="16D40F0B"/>
    <w:rsid w:val="172A4DE7"/>
    <w:rsid w:val="177C13BA"/>
    <w:rsid w:val="196B0D46"/>
    <w:rsid w:val="1C424981"/>
    <w:rsid w:val="1C774C30"/>
    <w:rsid w:val="1CEB23A0"/>
    <w:rsid w:val="1E534D12"/>
    <w:rsid w:val="1EB647CE"/>
    <w:rsid w:val="1FA80734"/>
    <w:rsid w:val="208A6DFA"/>
    <w:rsid w:val="208F625F"/>
    <w:rsid w:val="22A63D70"/>
    <w:rsid w:val="22F3650C"/>
    <w:rsid w:val="23FD0CBE"/>
    <w:rsid w:val="249742C4"/>
    <w:rsid w:val="253E5F41"/>
    <w:rsid w:val="25657549"/>
    <w:rsid w:val="268275F9"/>
    <w:rsid w:val="28476911"/>
    <w:rsid w:val="285B7229"/>
    <w:rsid w:val="28F120B0"/>
    <w:rsid w:val="29435CBF"/>
    <w:rsid w:val="29D06CB4"/>
    <w:rsid w:val="2B4125A4"/>
    <w:rsid w:val="2BC5112A"/>
    <w:rsid w:val="2CB85F94"/>
    <w:rsid w:val="2DA359FB"/>
    <w:rsid w:val="2DB04AD2"/>
    <w:rsid w:val="2EFD6181"/>
    <w:rsid w:val="2FAF3AB2"/>
    <w:rsid w:val="341A0E58"/>
    <w:rsid w:val="345B337B"/>
    <w:rsid w:val="34C62E5D"/>
    <w:rsid w:val="34D96BFE"/>
    <w:rsid w:val="36086143"/>
    <w:rsid w:val="370005F2"/>
    <w:rsid w:val="378E1D53"/>
    <w:rsid w:val="37B5500C"/>
    <w:rsid w:val="382A3E18"/>
    <w:rsid w:val="38F80D91"/>
    <w:rsid w:val="38FB0519"/>
    <w:rsid w:val="394D794F"/>
    <w:rsid w:val="39CD01E2"/>
    <w:rsid w:val="3A455068"/>
    <w:rsid w:val="3B4501F9"/>
    <w:rsid w:val="3C277297"/>
    <w:rsid w:val="3CB14EAA"/>
    <w:rsid w:val="3F776D55"/>
    <w:rsid w:val="3FF41C9D"/>
    <w:rsid w:val="431A331F"/>
    <w:rsid w:val="437944FE"/>
    <w:rsid w:val="475B2D06"/>
    <w:rsid w:val="495E2B4D"/>
    <w:rsid w:val="4E3D383A"/>
    <w:rsid w:val="4EAD2033"/>
    <w:rsid w:val="4EC37B11"/>
    <w:rsid w:val="4ECC61A8"/>
    <w:rsid w:val="4EF10D13"/>
    <w:rsid w:val="509D5588"/>
    <w:rsid w:val="5219645D"/>
    <w:rsid w:val="52C04A22"/>
    <w:rsid w:val="53787DD2"/>
    <w:rsid w:val="53944F5A"/>
    <w:rsid w:val="5552288C"/>
    <w:rsid w:val="56594AC8"/>
    <w:rsid w:val="56E16569"/>
    <w:rsid w:val="57590255"/>
    <w:rsid w:val="577E66ED"/>
    <w:rsid w:val="586B300E"/>
    <w:rsid w:val="58BE3DA6"/>
    <w:rsid w:val="5BDC2BA5"/>
    <w:rsid w:val="5C0D1BAE"/>
    <w:rsid w:val="5C164F06"/>
    <w:rsid w:val="5CC21EBE"/>
    <w:rsid w:val="616F7CA4"/>
    <w:rsid w:val="629A6A14"/>
    <w:rsid w:val="6457430E"/>
    <w:rsid w:val="652A4208"/>
    <w:rsid w:val="667473F9"/>
    <w:rsid w:val="67BF35F3"/>
    <w:rsid w:val="68042FE2"/>
    <w:rsid w:val="6B4B0FFA"/>
    <w:rsid w:val="6BB243A2"/>
    <w:rsid w:val="6CF05300"/>
    <w:rsid w:val="6CFD49F7"/>
    <w:rsid w:val="6E3E67F4"/>
    <w:rsid w:val="6E9024E6"/>
    <w:rsid w:val="6F6504E5"/>
    <w:rsid w:val="70117A67"/>
    <w:rsid w:val="7386594A"/>
    <w:rsid w:val="74770004"/>
    <w:rsid w:val="754C7CE3"/>
    <w:rsid w:val="76674885"/>
    <w:rsid w:val="77CB499F"/>
    <w:rsid w:val="789165C7"/>
    <w:rsid w:val="78F45421"/>
    <w:rsid w:val="79483E82"/>
    <w:rsid w:val="7A8F5D59"/>
    <w:rsid w:val="7AE53FCA"/>
    <w:rsid w:val="7BE64AFE"/>
    <w:rsid w:val="7DE46BC8"/>
    <w:rsid w:val="7EF32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numPr>
        <w:ilvl w:val="0"/>
        <w:numId w:val="1"/>
      </w:numPr>
      <w:spacing w:line="360" w:lineRule="auto"/>
      <w:outlineLvl w:val="1"/>
    </w:pPr>
    <w:rPr>
      <w:b/>
      <w:sz w:val="24"/>
      <w:szCs w:val="20"/>
    </w:rPr>
  </w:style>
  <w:style w:type="paragraph" w:styleId="3">
    <w:name w:val="heading 3"/>
    <w:basedOn w:val="1"/>
    <w:next w:val="1"/>
    <w:autoRedefine/>
    <w:qFormat/>
    <w:uiPriority w:val="0"/>
    <w:pPr>
      <w:keepNext/>
      <w:keepLines/>
      <w:spacing w:before="260" w:beforeLines="0" w:after="260" w:afterLines="0" w:line="413" w:lineRule="auto"/>
      <w:outlineLvl w:val="2"/>
    </w:pPr>
    <w:rPr>
      <w:rFonts w:cs="Times New Roman"/>
      <w:b/>
      <w:bCs/>
      <w:sz w:val="32"/>
      <w:szCs w:val="32"/>
    </w:rPr>
  </w:style>
  <w:style w:type="character" w:default="1" w:styleId="11">
    <w:name w:val="Default Paragraph Font"/>
    <w:autoRedefine/>
    <w:semiHidden/>
    <w:qFormat/>
    <w:uiPriority w:val="0"/>
  </w:style>
  <w:style w:type="table" w:default="1" w:styleId="10">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4">
    <w:name w:val="annotation text"/>
    <w:basedOn w:val="1"/>
    <w:link w:val="14"/>
    <w:qFormat/>
    <w:uiPriority w:val="0"/>
    <w:pPr>
      <w:keepNext w:val="0"/>
      <w:keepLines w:val="0"/>
      <w:widowControl w:val="0"/>
      <w:suppressLineNumbers w:val="0"/>
      <w:spacing w:before="0" w:beforeAutospacing="0" w:after="0" w:afterAutospacing="0"/>
      <w:ind w:left="0" w:right="0"/>
      <w:jc w:val="left"/>
    </w:pPr>
    <w:rPr>
      <w:rFonts w:hint="default" w:ascii="Times New Roman" w:hAnsi="Times New Roman" w:eastAsia="宋体" w:cs="Times New Roman"/>
      <w:kern w:val="2"/>
      <w:sz w:val="21"/>
      <w:szCs w:val="20"/>
      <w:lang w:val="en-US" w:eastAsia="zh-CN" w:bidi="ar"/>
    </w:rPr>
  </w:style>
  <w:style w:type="paragraph" w:styleId="5">
    <w:name w:val="Body Text"/>
    <w:basedOn w:val="1"/>
    <w:link w:val="16"/>
    <w:qFormat/>
    <w:uiPriority w:val="0"/>
    <w:pPr>
      <w:spacing w:after="120"/>
    </w:pPr>
  </w:style>
  <w:style w:type="paragraph" w:styleId="6">
    <w:name w:val="footer"/>
    <w:basedOn w:val="1"/>
    <w:link w:val="15"/>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2"/>
    <w:basedOn w:val="1"/>
    <w:next w:val="1"/>
    <w:semiHidden/>
    <w:qFormat/>
    <w:uiPriority w:val="0"/>
    <w:pPr>
      <w:ind w:left="210"/>
      <w:jc w:val="left"/>
    </w:pPr>
    <w:rPr>
      <w:rFonts w:ascii="Times New Roman" w:hAnsi="Times New Roman"/>
      <w:smallCaps/>
      <w:sz w:val="20"/>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character" w:customStyle="1" w:styleId="14">
    <w:name w:val="批注文字 Char"/>
    <w:basedOn w:val="11"/>
    <w:link w:val="4"/>
    <w:qFormat/>
    <w:uiPriority w:val="0"/>
    <w:rPr>
      <w:kern w:val="2"/>
      <w:sz w:val="21"/>
    </w:rPr>
  </w:style>
  <w:style w:type="character" w:customStyle="1" w:styleId="15">
    <w:name w:val="页脚 Char"/>
    <w:basedOn w:val="11"/>
    <w:link w:val="6"/>
    <w:qFormat/>
    <w:uiPriority w:val="0"/>
    <w:rPr>
      <w:kern w:val="2"/>
      <w:sz w:val="18"/>
    </w:rPr>
  </w:style>
  <w:style w:type="character" w:customStyle="1" w:styleId="16">
    <w:name w:val="正文文本 Char"/>
    <w:basedOn w:val="11"/>
    <w:link w:val="5"/>
    <w:qFormat/>
    <w:uiPriority w:val="0"/>
    <w:rPr>
      <w:rFonts w:hint="eastAsia" w:ascii="金山简黑体" w:hAnsi="Courier New" w:eastAsia="金山简黑体" w:cs="金山简黑体"/>
      <w:b/>
      <w:spacing w:val="-8"/>
      <w:kern w:val="2"/>
      <w:sz w:val="44"/>
    </w:rPr>
  </w:style>
  <w:style w:type="paragraph" w:customStyle="1" w:styleId="17">
    <w:name w:val="正文_0"/>
    <w:next w:val="1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正文文本_0"/>
    <w:basedOn w:val="17"/>
    <w:qFormat/>
    <w:uiPriority w:val="0"/>
    <w:pPr>
      <w:spacing w:after="120" w:afterLines="0"/>
    </w:pPr>
  </w:style>
  <w:style w:type="paragraph" w:customStyle="1" w:styleId="19">
    <w:name w:val="Default"/>
    <w:qFormat/>
    <w:uiPriority w:val="99"/>
    <w:pPr>
      <w:widowControl w:val="0"/>
      <w:tabs>
        <w:tab w:val="left" w:pos="360"/>
      </w:tabs>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0">
    <w:name w:val="标准正文"/>
    <w:basedOn w:val="1"/>
    <w:qFormat/>
    <w:uiPriority w:val="0"/>
    <w:pPr>
      <w:widowControl/>
      <w:spacing w:line="360" w:lineRule="auto"/>
      <w:ind w:firstLine="480" w:firstLineChars="200"/>
      <w:jc w:val="left"/>
    </w:pPr>
    <w:rPr>
      <w:rFonts w:ascii="Calibri" w:hAnsi="Calibri" w:eastAsia="宋体" w:cs="Times New Roman"/>
      <w:bCs/>
      <w:sz w:val="24"/>
      <w:szCs w:val="22"/>
      <w:u w:val="single"/>
    </w:rPr>
  </w:style>
  <w:style w:type="paragraph" w:customStyle="1" w:styleId="21">
    <w:name w:val="Table Text"/>
    <w:basedOn w:val="1"/>
    <w:qFormat/>
    <w:uiPriority w:val="0"/>
    <w:rPr>
      <w:rFonts w:ascii="宋体" w:hAnsi="宋体" w:eastAsia="宋体" w:cs="宋体"/>
      <w:sz w:val="20"/>
      <w:szCs w:val="20"/>
      <w:lang w:val="en-US" w:eastAsia="en-US" w:bidi="ar-SA"/>
    </w:rPr>
  </w:style>
  <w:style w:type="table" w:customStyle="1" w:styleId="22">
    <w:name w:val="Table Normal"/>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5259</Words>
  <Characters>5468</Characters>
  <Lines>0</Lines>
  <Paragraphs>0</Paragraphs>
  <TotalTime>18</TotalTime>
  <ScaleCrop>false</ScaleCrop>
  <LinksUpToDate>false</LinksUpToDate>
  <CharactersWithSpaces>5684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2022-05-05T07:27:00Z</dcterms:created>
  <dc:creator>第二工程公司</dc:creator>
  <cp:lastModifiedBy>椰子糖</cp:lastModifiedBy>
  <cp:lastPrinted>2025-10-22T01:26:00Z</cp:lastPrinted>
  <dcterms:modified xsi:type="dcterms:W3CDTF">2025-10-24T01:00:49Z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BCFC1A2469504A80BD52B978BEC8E77A_13</vt:lpwstr>
  </property>
  <property fmtid="{D5CDD505-2E9C-101B-9397-08002B2CF9AE}" pid="4" name="KSOTemplateDocerSaveRecord">
    <vt:lpwstr>eyJoZGlkIjoiZTA3MTc3ZTY5OTcxY2NlYmVkMTM5NjAyMGMyZDRhMmUiLCJ1c2VySWQiOiI0MDE1NzAyOTQifQ==</vt:lpwstr>
  </property>
</Properties>
</file>