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549D9">
      <w:pPr>
        <w:pStyle w:val="15"/>
        <w:tabs>
          <w:tab w:val="left" w:pos="2931"/>
        </w:tabs>
        <w:jc w:val="both"/>
        <w:rPr>
          <w:rFonts w:hint="default" w:ascii="仿宋_GB2312" w:hAnsi="仿宋" w:eastAsia="仿宋_GB2312" w:cs="仿宋"/>
          <w:b/>
          <w:bCs w:val="0"/>
          <w:color w:val="auto"/>
          <w:sz w:val="28"/>
          <w:szCs w:val="28"/>
          <w:lang w:val="en-US" w:eastAsia="zh-CN"/>
        </w:rPr>
      </w:pPr>
      <w:bookmarkStart w:id="0" w:name="_GoBack"/>
      <w:bookmarkEnd w:id="0"/>
      <w:r>
        <w:rPr>
          <w:rFonts w:hint="eastAsia" w:ascii="仿宋_GB2312" w:hAnsi="仿宋" w:eastAsia="仿宋_GB2312" w:cs="仿宋"/>
          <w:b/>
          <w:bCs w:val="0"/>
          <w:color w:val="auto"/>
          <w:sz w:val="28"/>
          <w:szCs w:val="28"/>
          <w:lang w:val="en-US" w:eastAsia="zh-CN"/>
        </w:rPr>
        <w:t>附件1</w:t>
      </w:r>
    </w:p>
    <w:p w14:paraId="2C8F5CA4">
      <w:pPr>
        <w:pStyle w:val="15"/>
        <w:jc w:val="both"/>
        <w:rPr>
          <w:rFonts w:hint="default"/>
          <w:color w:val="auto"/>
          <w:lang w:val="en-US" w:eastAsia="zh-CN"/>
        </w:rPr>
      </w:pPr>
    </w:p>
    <w:p w14:paraId="34D12ECC">
      <w:pPr>
        <w:spacing w:line="360" w:lineRule="auto"/>
        <w:jc w:val="center"/>
        <w:rPr>
          <w:rFonts w:hint="eastAsia" w:ascii="宋体" w:hAnsi="宋体" w:eastAsia="宋体" w:cs="Times New Roman"/>
          <w:color w:val="auto"/>
          <w:kern w:val="2"/>
          <w:sz w:val="44"/>
          <w:szCs w:val="44"/>
          <w:lang w:val="en-US" w:eastAsia="zh-CN" w:bidi="ar-SA"/>
        </w:rPr>
      </w:pPr>
      <w:r>
        <w:rPr>
          <w:rFonts w:hint="eastAsia" w:ascii="宋体" w:hAnsi="宋体" w:eastAsia="宋体" w:cs="Times New Roman"/>
          <w:color w:val="auto"/>
          <w:kern w:val="2"/>
          <w:sz w:val="44"/>
          <w:szCs w:val="44"/>
          <w:lang w:val="en-US" w:eastAsia="zh-CN" w:bidi="ar-SA"/>
        </w:rPr>
        <w:t>报 价 表</w:t>
      </w:r>
    </w:p>
    <w:p w14:paraId="48AFDA28">
      <w:pPr>
        <w:spacing w:line="360" w:lineRule="auto"/>
        <w:ind w:firstLine="3640" w:firstLineChars="1300"/>
        <w:jc w:val="both"/>
        <w:rPr>
          <w:rFonts w:hint="eastAsia" w:ascii="宋体" w:hAnsi="宋体" w:eastAsia="宋体" w:cs="Times New Roman"/>
          <w:color w:val="auto"/>
          <w:kern w:val="2"/>
          <w:sz w:val="28"/>
          <w:szCs w:val="28"/>
          <w:lang w:val="en-US" w:eastAsia="zh-CN" w:bidi="ar-SA"/>
        </w:rPr>
      </w:pPr>
    </w:p>
    <w:p w14:paraId="76030300">
      <w:pPr>
        <w:spacing w:line="360" w:lineRule="auto"/>
        <w:jc w:val="both"/>
        <w:rPr>
          <w:rFonts w:hint="eastAsia" w:ascii="宋体" w:hAnsi="宋体" w:eastAsia="宋体" w:cs="Times New Roman"/>
          <w:color w:val="auto"/>
          <w:kern w:val="2"/>
          <w:sz w:val="28"/>
          <w:szCs w:val="28"/>
          <w:u w:val="single"/>
          <w:lang w:val="en-US" w:eastAsia="zh-CN" w:bidi="ar-SA"/>
        </w:rPr>
      </w:pPr>
      <w:r>
        <w:rPr>
          <w:rFonts w:hint="eastAsia" w:ascii="宋体" w:hAnsi="宋体" w:eastAsia="宋体" w:cs="Times New Roman"/>
          <w:color w:val="auto"/>
          <w:kern w:val="2"/>
          <w:sz w:val="28"/>
          <w:szCs w:val="28"/>
          <w:lang w:val="en-US" w:eastAsia="zh-CN" w:bidi="ar-SA"/>
        </w:rPr>
        <w:t>投标单位（公章）：</w:t>
      </w:r>
      <w:r>
        <w:rPr>
          <w:rFonts w:hint="eastAsia" w:ascii="宋体" w:hAnsi="宋体" w:eastAsia="宋体" w:cs="Times New Roman"/>
          <w:color w:val="auto"/>
          <w:kern w:val="2"/>
          <w:sz w:val="28"/>
          <w:szCs w:val="28"/>
          <w:u w:val="single"/>
          <w:lang w:val="en-US" w:eastAsia="zh-CN" w:bidi="ar-SA"/>
        </w:rPr>
        <w:t xml:space="preserve">                                </w:t>
      </w:r>
    </w:p>
    <w:p w14:paraId="4368F633">
      <w:pPr>
        <w:spacing w:line="360" w:lineRule="auto"/>
        <w:ind w:firstLine="3640" w:firstLineChars="1300"/>
        <w:jc w:val="both"/>
        <w:rPr>
          <w:rFonts w:hint="eastAsia" w:ascii="宋体" w:hAnsi="宋体" w:eastAsia="宋体" w:cs="Times New Roman"/>
          <w:color w:val="auto"/>
          <w:kern w:val="2"/>
          <w:sz w:val="28"/>
          <w:szCs w:val="28"/>
          <w:lang w:val="en-US" w:eastAsia="zh-CN" w:bidi="ar-SA"/>
        </w:rPr>
      </w:pPr>
    </w:p>
    <w:p w14:paraId="5D81EFAD">
      <w:pPr>
        <w:pStyle w:val="6"/>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Times New Roman"/>
          <w:color w:val="auto"/>
          <w:kern w:val="2"/>
          <w:sz w:val="28"/>
          <w:szCs w:val="28"/>
          <w:lang w:val="en-US" w:eastAsia="zh-CN" w:bidi="ar-SA"/>
        </w:rPr>
        <w:t>项目名称：</w:t>
      </w:r>
      <w:r>
        <w:rPr>
          <w:rFonts w:hint="eastAsia" w:ascii="宋体" w:hAnsi="宋体" w:eastAsia="宋体" w:cs="宋体"/>
          <w:color w:val="auto"/>
          <w:kern w:val="2"/>
          <w:sz w:val="28"/>
          <w:szCs w:val="28"/>
          <w:u w:val="single"/>
          <w:lang w:val="en-US" w:eastAsia="zh-CN" w:bidi="ar-SA"/>
        </w:rPr>
        <w:t>城投·龙江尊府3号楼评估</w:t>
      </w:r>
    </w:p>
    <w:p w14:paraId="6E29A566">
      <w:pPr>
        <w:spacing w:line="360" w:lineRule="auto"/>
        <w:jc w:val="both"/>
        <w:rPr>
          <w:rFonts w:hint="default" w:ascii="宋体" w:hAnsi="宋体" w:eastAsia="宋体" w:cs="Times New Roman"/>
          <w:color w:val="auto"/>
          <w:kern w:val="2"/>
          <w:sz w:val="28"/>
          <w:szCs w:val="28"/>
          <w:lang w:val="en-US" w:eastAsia="zh-CN" w:bidi="ar-SA"/>
        </w:rPr>
      </w:pPr>
    </w:p>
    <w:p w14:paraId="17FDB5D1">
      <w:pPr>
        <w:spacing w:line="360" w:lineRule="auto"/>
        <w:jc w:val="both"/>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项目编号：</w:t>
      </w:r>
      <w:r>
        <w:rPr>
          <w:rFonts w:hint="eastAsia" w:ascii="宋体" w:hAnsi="宋体" w:eastAsia="宋体" w:cs="宋体"/>
          <w:color w:val="auto"/>
          <w:kern w:val="2"/>
          <w:sz w:val="28"/>
          <w:szCs w:val="28"/>
          <w:u w:val="single"/>
          <w:lang w:val="en-US" w:eastAsia="zh-CN" w:bidi="ar-SA"/>
        </w:rPr>
        <w:t xml:space="preserve">HCCT2025025号          </w:t>
      </w:r>
      <w:r>
        <w:rPr>
          <w:rFonts w:hint="eastAsia" w:ascii="宋体" w:hAnsi="宋体" w:eastAsia="宋体" w:cs="Times New Roman"/>
          <w:color w:val="auto"/>
          <w:kern w:val="2"/>
          <w:sz w:val="28"/>
          <w:szCs w:val="28"/>
          <w:lang w:val="en-US" w:eastAsia="zh-CN" w:bidi="ar-SA"/>
        </w:rPr>
        <w:t xml:space="preserve">   </w:t>
      </w:r>
    </w:p>
    <w:p w14:paraId="4351ABBB">
      <w:pPr>
        <w:spacing w:line="360" w:lineRule="auto"/>
        <w:jc w:val="both"/>
        <w:rPr>
          <w:rFonts w:hint="eastAsia" w:ascii="宋体" w:hAnsi="宋体" w:eastAsia="宋体" w:cs="Times New Roman"/>
          <w:color w:val="auto"/>
          <w:kern w:val="2"/>
          <w:sz w:val="28"/>
          <w:szCs w:val="28"/>
          <w:lang w:val="en-US" w:eastAsia="zh-CN" w:bidi="ar-SA"/>
        </w:rPr>
      </w:pPr>
    </w:p>
    <w:p w14:paraId="141442CD">
      <w:pPr>
        <w:spacing w:line="360" w:lineRule="auto"/>
        <w:jc w:val="both"/>
        <w:rPr>
          <w:rFonts w:hint="eastAsia" w:ascii="宋体" w:hAnsi="宋体" w:eastAsia="宋体" w:cs="Times New Roman"/>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下浮系数</w:t>
      </w:r>
      <w:r>
        <w:rPr>
          <w:rFonts w:hint="eastAsia" w:ascii="宋体" w:hAnsi="宋体" w:eastAsia="宋体" w:cs="Times New Roman"/>
          <w:color w:val="auto"/>
          <w:kern w:val="2"/>
          <w:sz w:val="28"/>
          <w:szCs w:val="28"/>
          <w:lang w:val="en-US" w:eastAsia="zh-CN" w:bidi="ar-SA"/>
        </w:rPr>
        <w:t>：</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lang w:val="en-US" w:eastAsia="zh-CN" w:bidi="ar-SA"/>
        </w:rPr>
        <w:t xml:space="preserve">   </w:t>
      </w:r>
    </w:p>
    <w:p w14:paraId="7020A213">
      <w:pPr>
        <w:spacing w:line="360" w:lineRule="auto"/>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                                   </w:t>
      </w:r>
    </w:p>
    <w:p w14:paraId="013BEA07">
      <w:pPr>
        <w:spacing w:line="360" w:lineRule="auto"/>
        <w:ind w:firstLine="1120" w:firstLineChars="400"/>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                                 </w:t>
      </w:r>
    </w:p>
    <w:p w14:paraId="13D06F7A">
      <w:pPr>
        <w:spacing w:line="360" w:lineRule="auto"/>
        <w:ind w:firstLine="3640" w:firstLineChars="1300"/>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                                </w:t>
      </w:r>
    </w:p>
    <w:p w14:paraId="5FAA181A">
      <w:pPr>
        <w:spacing w:line="360" w:lineRule="auto"/>
        <w:ind w:firstLine="4760" w:firstLineChars="1700"/>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年   月   日                    </w:t>
      </w:r>
    </w:p>
    <w:p w14:paraId="4909295B">
      <w:pPr>
        <w:pStyle w:val="3"/>
        <w:jc w:val="both"/>
        <w:rPr>
          <w:rFonts w:hint="eastAsia" w:hAnsi="宋体" w:eastAsia="宋体" w:cs="Times New Roman"/>
          <w:color w:val="auto"/>
        </w:rPr>
      </w:pPr>
    </w:p>
    <w:p w14:paraId="25F0276D">
      <w:pPr>
        <w:pStyle w:val="2"/>
        <w:jc w:val="both"/>
        <w:rPr>
          <w:rFonts w:hint="eastAsia" w:hAnsi="宋体" w:eastAsia="宋体" w:cs="Times New Roman"/>
          <w:color w:val="auto"/>
        </w:rPr>
      </w:pPr>
    </w:p>
    <w:p w14:paraId="2580A4F0">
      <w:pPr>
        <w:pStyle w:val="2"/>
        <w:jc w:val="both"/>
        <w:rPr>
          <w:rFonts w:hint="eastAsia" w:hAnsi="宋体" w:eastAsia="宋体" w:cs="Times New Roman"/>
          <w:color w:val="auto"/>
        </w:rPr>
      </w:pPr>
    </w:p>
    <w:p w14:paraId="038A1359">
      <w:pPr>
        <w:pStyle w:val="2"/>
        <w:jc w:val="both"/>
        <w:rPr>
          <w:rFonts w:hint="eastAsia" w:hAnsi="宋体" w:eastAsia="宋体" w:cs="Times New Roman"/>
          <w:color w:val="auto"/>
        </w:rPr>
      </w:pPr>
    </w:p>
    <w:p w14:paraId="70DE8058">
      <w:pPr>
        <w:jc w:val="both"/>
        <w:rPr>
          <w:rFonts w:hint="eastAsia"/>
          <w:color w:val="auto"/>
        </w:rPr>
      </w:pPr>
    </w:p>
    <w:p w14:paraId="3693401D">
      <w:pPr>
        <w:jc w:val="both"/>
        <w:rPr>
          <w:rFonts w:hint="eastAsia" w:ascii="仿宋_GB2312" w:eastAsia="仿宋_GB2312" w:hAnsiTheme="minorHAnsi" w:cstheme="minorBidi"/>
          <w:b/>
          <w:bCs/>
          <w:color w:val="auto"/>
          <w:sz w:val="32"/>
          <w:szCs w:val="32"/>
          <w:lang w:eastAsia="zh-CN"/>
        </w:rPr>
      </w:pPr>
      <w:r>
        <w:rPr>
          <w:rFonts w:hint="eastAsia" w:ascii="仿宋_GB2312" w:eastAsia="仿宋_GB2312"/>
          <w:b/>
          <w:bCs/>
          <w:color w:val="auto"/>
        </w:rPr>
        <w:t>注：</w:t>
      </w:r>
      <w:r>
        <w:rPr>
          <w:rFonts w:hint="eastAsia" w:ascii="仿宋_GB2312" w:eastAsia="仿宋_GB2312"/>
          <w:b/>
          <w:bCs/>
          <w:color w:val="auto"/>
          <w:lang w:val="en-US" w:eastAsia="zh-CN"/>
        </w:rPr>
        <w:t xml:space="preserve">有效报价为0&lt;下浮系数&lt;100%。  </w:t>
      </w:r>
    </w:p>
    <w:p w14:paraId="205226DA">
      <w:pPr>
        <w:pStyle w:val="15"/>
        <w:jc w:val="both"/>
        <w:rPr>
          <w:rFonts w:hint="default"/>
          <w:color w:val="auto"/>
          <w:lang w:val="en-US" w:eastAsia="zh-CN"/>
        </w:rPr>
      </w:pPr>
    </w:p>
    <w:p w14:paraId="1636F19F">
      <w:pPr>
        <w:pStyle w:val="2"/>
        <w:jc w:val="both"/>
      </w:pPr>
    </w:p>
    <w:p w14:paraId="7B00CF67">
      <w:pPr>
        <w:pStyle w:val="2"/>
        <w:jc w:val="both"/>
      </w:pPr>
    </w:p>
    <w:p w14:paraId="10807AC7">
      <w:pPr>
        <w:pStyle w:val="2"/>
        <w:jc w:val="both"/>
      </w:pPr>
    </w:p>
    <w:p w14:paraId="40E07947">
      <w:pPr>
        <w:pStyle w:val="2"/>
        <w:jc w:val="both"/>
      </w:pPr>
    </w:p>
    <w:p w14:paraId="3AFC0BE0">
      <w:pPr>
        <w:pStyle w:val="2"/>
        <w:jc w:val="both"/>
      </w:pPr>
    </w:p>
    <w:p w14:paraId="1F410DC0">
      <w:pPr>
        <w:pStyle w:val="2"/>
        <w:jc w:val="both"/>
      </w:pPr>
    </w:p>
    <w:p w14:paraId="6F5A61FC">
      <w:pPr>
        <w:pStyle w:val="2"/>
        <w:jc w:val="both"/>
      </w:pPr>
    </w:p>
    <w:p w14:paraId="4FD77632">
      <w:pPr>
        <w:pStyle w:val="2"/>
        <w:jc w:val="both"/>
      </w:pPr>
    </w:p>
    <w:p w14:paraId="5570226A">
      <w:pPr>
        <w:jc w:val="both"/>
        <w:rPr>
          <w:rFonts w:hint="default" w:ascii="Times New Roman" w:hAnsi="Times New Roman" w:eastAsia="华文中宋"/>
          <w:b w:val="0"/>
          <w:bCs/>
          <w:color w:val="000000"/>
          <w:sz w:val="21"/>
          <w:szCs w:val="21"/>
          <w:highlight w:val="none"/>
          <w:lang w:val="en-US" w:eastAsia="zh-CN"/>
        </w:rPr>
      </w:pPr>
      <w:r>
        <w:rPr>
          <w:rFonts w:hint="eastAsia" w:ascii="Times New Roman" w:hAnsi="Times New Roman" w:eastAsia="华文中宋"/>
          <w:b w:val="0"/>
          <w:bCs/>
          <w:color w:val="000000"/>
          <w:sz w:val="21"/>
          <w:szCs w:val="21"/>
          <w:highlight w:val="none"/>
          <w:lang w:eastAsia="zh-CN"/>
        </w:rPr>
        <w:t>附件</w:t>
      </w:r>
      <w:r>
        <w:rPr>
          <w:rFonts w:hint="eastAsia" w:ascii="Times New Roman" w:hAnsi="Times New Roman" w:eastAsia="华文中宋"/>
          <w:b w:val="0"/>
          <w:bCs/>
          <w:color w:val="000000"/>
          <w:sz w:val="21"/>
          <w:szCs w:val="21"/>
          <w:highlight w:val="none"/>
          <w:lang w:val="en-US" w:eastAsia="zh-CN"/>
        </w:rPr>
        <w:t>2</w:t>
      </w:r>
    </w:p>
    <w:p w14:paraId="358D2C1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房地产估价合同</w:t>
      </w:r>
    </w:p>
    <w:p w14:paraId="27C3AF22">
      <w:pPr>
        <w:keepNext w:val="0"/>
        <w:keepLines w:val="0"/>
        <w:pageBreakBefore w:val="0"/>
        <w:widowControl w:val="0"/>
        <w:kinsoku/>
        <w:wordWrap/>
        <w:overflowPunct/>
        <w:topLinePunct w:val="0"/>
        <w:autoSpaceDE/>
        <w:autoSpaceDN/>
        <w:bidi w:val="0"/>
        <w:adjustRightInd/>
        <w:spacing w:line="46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687ACDE5">
      <w:pPr>
        <w:keepNext w:val="0"/>
        <w:keepLines w:val="0"/>
        <w:pageBreakBefore w:val="0"/>
        <w:widowControl w:val="0"/>
        <w:kinsoku/>
        <w:wordWrap/>
        <w:overflowPunct/>
        <w:topLinePunct w:val="0"/>
        <w:autoSpaceDE/>
        <w:autoSpaceDN/>
        <w:bidi w:val="0"/>
        <w:adjustRightInd/>
        <w:spacing w:line="5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委  托  方：</w:t>
      </w:r>
      <w:r>
        <w:rPr>
          <w:rFonts w:hint="eastAsia" w:asciiTheme="minorEastAsia" w:hAnsiTheme="minorEastAsia" w:eastAsiaTheme="minorEastAsia" w:cstheme="minorEastAsia"/>
          <w:color w:val="auto"/>
          <w:sz w:val="28"/>
          <w:szCs w:val="28"/>
          <w:u w:val="single"/>
          <w:lang w:val="en-US" w:eastAsia="zh-CN"/>
        </w:rPr>
        <w:t>河池市城市投资建设发展有限公司</w:t>
      </w:r>
      <w:r>
        <w:rPr>
          <w:rFonts w:hint="eastAsia" w:asciiTheme="minorEastAsia" w:hAnsiTheme="minorEastAsia" w:eastAsiaTheme="minorEastAsia" w:cstheme="minorEastAsia"/>
          <w:sz w:val="28"/>
          <w:szCs w:val="28"/>
        </w:rPr>
        <w:t>（以下简称甲方）</w:t>
      </w:r>
    </w:p>
    <w:p w14:paraId="33B3651E">
      <w:pPr>
        <w:keepNext w:val="0"/>
        <w:keepLines w:val="0"/>
        <w:pageBreakBefore w:val="0"/>
        <w:widowControl w:val="0"/>
        <w:kinsoku/>
        <w:wordWrap/>
        <w:overflowPunct/>
        <w:topLinePunct w:val="0"/>
        <w:autoSpaceDE/>
        <w:autoSpaceDN/>
        <w:bidi w:val="0"/>
        <w:adjustRightInd/>
        <w:spacing w:line="5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受理估价方：</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sz w:val="28"/>
          <w:szCs w:val="28"/>
        </w:rPr>
        <w:t>（以下简称乙方）</w:t>
      </w:r>
    </w:p>
    <w:p w14:paraId="6F6FB178">
      <w:pPr>
        <w:keepNext w:val="0"/>
        <w:keepLines w:val="0"/>
        <w:pageBreakBefore w:val="0"/>
        <w:widowControl w:val="0"/>
        <w:kinsoku/>
        <w:wordWrap/>
        <w:overflowPunct/>
        <w:topLinePunct w:val="0"/>
        <w:autoSpaceDE/>
        <w:autoSpaceDN/>
        <w:bidi w:val="0"/>
        <w:adjustRightInd/>
        <w:spacing w:line="58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rPr>
        <w:t>根据《中华人民共和国民法典》《中华人民共和国资产评估法》《中华人民共和国土地管理法》《中华人民共和国城市房地产管理法》等有关法律法规及文件</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规定，</w:t>
      </w:r>
      <w:r>
        <w:rPr>
          <w:rFonts w:hint="eastAsia" w:asciiTheme="minorEastAsia" w:hAnsiTheme="minorEastAsia" w:eastAsiaTheme="minorEastAsia" w:cstheme="minorEastAsia"/>
          <w:sz w:val="28"/>
          <w:szCs w:val="28"/>
          <w:lang w:val="en-US" w:eastAsia="zh-CN"/>
        </w:rPr>
        <w:t>本着平等互利、协商一致的原则</w:t>
      </w:r>
      <w:r>
        <w:rPr>
          <w:rFonts w:hint="eastAsia" w:asciiTheme="minorEastAsia" w:hAnsiTheme="minorEastAsia" w:eastAsiaTheme="minorEastAsia" w:cstheme="minorEastAsia"/>
          <w:sz w:val="28"/>
          <w:szCs w:val="28"/>
        </w:rPr>
        <w:t>，就</w:t>
      </w:r>
      <w:r>
        <w:rPr>
          <w:rFonts w:hint="eastAsia" w:asciiTheme="minorEastAsia" w:hAnsiTheme="minorEastAsia" w:eastAsiaTheme="minorEastAsia" w:cstheme="minorEastAsia"/>
          <w:color w:val="auto"/>
          <w:sz w:val="28"/>
          <w:szCs w:val="28"/>
          <w:highlight w:val="none"/>
          <w:lang w:val="en-US" w:eastAsia="zh-CN"/>
        </w:rPr>
        <w:t>城投·龙江尊府3号楼评估</w:t>
      </w:r>
      <w:r>
        <w:rPr>
          <w:rFonts w:hint="eastAsia" w:asciiTheme="minorEastAsia" w:hAnsiTheme="minorEastAsia" w:eastAsiaTheme="minorEastAsia" w:cstheme="minorEastAsia"/>
          <w:color w:val="auto"/>
          <w:sz w:val="28"/>
          <w:szCs w:val="28"/>
          <w:highlight w:val="none"/>
        </w:rPr>
        <w:t>事宜订立本合同，内容如下：</w:t>
      </w:r>
    </w:p>
    <w:p w14:paraId="4E35CC36">
      <w:pPr>
        <w:keepNext w:val="0"/>
        <w:keepLines w:val="0"/>
        <w:pageBreakBefore w:val="0"/>
        <w:widowControl w:val="0"/>
        <w:kinsoku/>
        <w:wordWrap/>
        <w:overflowPunct/>
        <w:topLinePunct w:val="0"/>
        <w:autoSpaceDE/>
        <w:autoSpaceDN/>
        <w:bidi w:val="0"/>
        <w:adjustRightInd/>
        <w:spacing w:line="580" w:lineRule="exact"/>
        <w:ind w:firstLine="562" w:firstLineChars="200"/>
        <w:jc w:val="both"/>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一、估价基本事项：</w:t>
      </w:r>
    </w:p>
    <w:p w14:paraId="2A88C8F4">
      <w:pPr>
        <w:keepNext w:val="0"/>
        <w:keepLines w:val="0"/>
        <w:pageBreakBefore w:val="0"/>
        <w:widowControl w:val="0"/>
        <w:kinsoku/>
        <w:wordWrap/>
        <w:overflowPunct/>
        <w:topLinePunct w:val="0"/>
        <w:autoSpaceDE/>
        <w:autoSpaceDN/>
        <w:bidi w:val="0"/>
        <w:adjustRightInd/>
        <w:spacing w:line="58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lang w:val="en-US" w:eastAsia="zh-CN"/>
        </w:rPr>
        <w:t>1.房地产位置：</w:t>
      </w:r>
      <w:r>
        <w:rPr>
          <w:rFonts w:hint="eastAsia" w:asciiTheme="minorEastAsia" w:hAnsiTheme="minorEastAsia" w:eastAsiaTheme="minorEastAsia" w:cstheme="minorEastAsia"/>
          <w:color w:val="auto"/>
          <w:sz w:val="28"/>
          <w:szCs w:val="28"/>
          <w:highlight w:val="none"/>
          <w:u w:val="single"/>
          <w:lang w:val="en-US" w:eastAsia="zh-CN"/>
        </w:rPr>
        <w:t>河池市金城江区金城中路288号</w:t>
      </w:r>
    </w:p>
    <w:p w14:paraId="13F0EB18">
      <w:pPr>
        <w:pStyle w:val="2"/>
        <w:keepNext w:val="0"/>
        <w:keepLines w:val="0"/>
        <w:pageBreakBefore w:val="0"/>
        <w:widowControl w:val="0"/>
        <w:kinsoku/>
        <w:wordWrap/>
        <w:overflowPunct/>
        <w:topLinePunct w:val="0"/>
        <w:autoSpaceDE/>
        <w:autoSpaceDN/>
        <w:bidi w:val="0"/>
        <w:adjustRightInd/>
        <w:spacing w:line="580" w:lineRule="exact"/>
        <w:jc w:val="both"/>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kern w:val="2"/>
          <w:sz w:val="28"/>
          <w:szCs w:val="28"/>
          <w:lang w:val="en-US" w:eastAsia="zh-CN" w:bidi="ar-SA"/>
        </w:rPr>
        <w:t>2.房屋用途：</w:t>
      </w:r>
      <w:r>
        <w:rPr>
          <w:rFonts w:hint="eastAsia" w:asciiTheme="minorEastAsia" w:hAnsiTheme="minorEastAsia" w:eastAsiaTheme="minorEastAsia" w:cstheme="minorEastAsia"/>
          <w:kern w:val="2"/>
          <w:sz w:val="28"/>
          <w:szCs w:val="28"/>
          <w:u w:val="single"/>
          <w:lang w:val="en-US" w:eastAsia="zh-CN" w:bidi="ar-SA"/>
        </w:rPr>
        <w:t xml:space="preserve">     商业楼                  </w:t>
      </w:r>
      <w:r>
        <w:rPr>
          <w:rFonts w:hint="eastAsia" w:asciiTheme="minorEastAsia" w:hAnsi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 xml:space="preserve">   </w:t>
      </w:r>
    </w:p>
    <w:p w14:paraId="556BEE5D">
      <w:pPr>
        <w:keepNext w:val="0"/>
        <w:keepLines w:val="0"/>
        <w:pageBreakBefore w:val="0"/>
        <w:widowControl w:val="0"/>
        <w:kinsoku/>
        <w:wordWrap/>
        <w:overflowPunct/>
        <w:topLinePunct w:val="0"/>
        <w:autoSpaceDE/>
        <w:autoSpaceDN/>
        <w:bidi w:val="0"/>
        <w:adjustRightInd/>
        <w:spacing w:line="58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u w:val="single"/>
          <w:lang w:val="en-US"/>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.估价目的：</w:t>
      </w:r>
      <w:r>
        <w:rPr>
          <w:rFonts w:hint="eastAsia" w:asciiTheme="minorEastAsia" w:hAnsiTheme="minorEastAsia" w:eastAsiaTheme="minorEastAsia" w:cstheme="minorEastAsia"/>
          <w:color w:val="auto"/>
          <w:sz w:val="28"/>
          <w:szCs w:val="28"/>
          <w:highlight w:val="none"/>
          <w:u w:val="single"/>
          <w:lang w:val="en-US" w:eastAsia="zh-CN"/>
        </w:rPr>
        <w:t>了解城投·龙江尊府3号楼当前市场价值</w:t>
      </w:r>
    </w:p>
    <w:p w14:paraId="7A8CB86B">
      <w:pPr>
        <w:keepNext w:val="0"/>
        <w:keepLines w:val="0"/>
        <w:pageBreakBefore w:val="0"/>
        <w:widowControl w:val="0"/>
        <w:kinsoku/>
        <w:wordWrap/>
        <w:overflowPunct/>
        <w:topLinePunct w:val="0"/>
        <w:autoSpaceDE/>
        <w:autoSpaceDN/>
        <w:bidi w:val="0"/>
        <w:adjustRightInd/>
        <w:spacing w:line="58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评估基准日</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日，估价结果反映该时点房地产的客观合理价值；</w:t>
      </w:r>
      <w:r>
        <w:rPr>
          <w:rFonts w:hint="eastAsia" w:asciiTheme="minorEastAsia" w:hAnsiTheme="minorEastAsia" w:eastAsiaTheme="minorEastAsia" w:cstheme="minorEastAsia"/>
          <w:color w:val="auto"/>
          <w:sz w:val="28"/>
          <w:szCs w:val="28"/>
          <w:highlight w:val="none"/>
        </w:rPr>
        <w:t xml:space="preserve">                              </w:t>
      </w:r>
    </w:p>
    <w:p w14:paraId="6EE71FC8">
      <w:pPr>
        <w:keepNext w:val="0"/>
        <w:keepLines w:val="0"/>
        <w:pageBreakBefore w:val="0"/>
        <w:widowControl w:val="0"/>
        <w:kinsoku/>
        <w:wordWrap/>
        <w:overflowPunct/>
        <w:topLinePunct w:val="0"/>
        <w:autoSpaceDE/>
        <w:autoSpaceDN/>
        <w:bidi w:val="0"/>
        <w:adjustRightInd/>
        <w:spacing w:line="58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.估价对象：</w:t>
      </w:r>
      <w:r>
        <w:rPr>
          <w:rFonts w:hint="eastAsia" w:asciiTheme="minorEastAsia" w:hAnsiTheme="minorEastAsia" w:eastAsiaTheme="minorEastAsia" w:cstheme="minorEastAsia"/>
          <w:color w:val="auto"/>
          <w:sz w:val="28"/>
          <w:szCs w:val="28"/>
          <w:highlight w:val="none"/>
          <w:lang w:val="en-US" w:eastAsia="zh-CN"/>
        </w:rPr>
        <w:t>城投·龙江尊府3号楼，</w:t>
      </w:r>
      <w:r>
        <w:rPr>
          <w:rFonts w:hint="eastAsia" w:asciiTheme="minorEastAsia" w:hAnsiTheme="minorEastAsia" w:eastAsiaTheme="minorEastAsia" w:cstheme="minorEastAsia"/>
          <w:sz w:val="28"/>
          <w:szCs w:val="28"/>
          <w:lang w:val="en-US" w:eastAsia="zh-CN"/>
        </w:rPr>
        <w:t>总建筑面积19426.29平方米（地上建筑面积+地下1、2层停车位）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具体资产评估明细如下</w:t>
      </w:r>
      <w:r>
        <w:rPr>
          <w:rFonts w:hint="eastAsia" w:asciiTheme="minorEastAsia" w:hAnsiTheme="minorEastAsia" w:eastAsiaTheme="minorEastAsia" w:cstheme="minorEastAsia"/>
          <w:color w:val="auto"/>
          <w:sz w:val="28"/>
          <w:szCs w:val="28"/>
          <w:highlight w:val="none"/>
          <w:lang w:val="en-US" w:eastAsia="zh-CN"/>
        </w:rPr>
        <w:t>：</w:t>
      </w:r>
    </w:p>
    <w:tbl>
      <w:tblPr>
        <w:tblStyle w:val="9"/>
        <w:tblW w:w="8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5"/>
        <w:gridCol w:w="1224"/>
        <w:gridCol w:w="2370"/>
        <w:gridCol w:w="1445"/>
        <w:gridCol w:w="1675"/>
      </w:tblGrid>
      <w:tr w14:paraId="2821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0716">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楼盘名称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4368">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DB56">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评估名称</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CC8F">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面积</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C3EC">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单位</w:t>
            </w:r>
          </w:p>
        </w:tc>
      </w:tr>
      <w:tr w14:paraId="43F0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C7800">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投</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Style w:val="16"/>
                <w:rFonts w:hint="eastAsia" w:asciiTheme="minorEastAsia" w:hAnsiTheme="minorEastAsia" w:eastAsiaTheme="minorEastAsia" w:cstheme="minorEastAsia"/>
                <w:sz w:val="28"/>
                <w:szCs w:val="28"/>
                <w:lang w:val="en-US" w:eastAsia="zh-CN" w:bidi="ar"/>
              </w:rPr>
              <w:t>·</w:t>
            </w:r>
            <w:r>
              <w:rPr>
                <w:rStyle w:val="17"/>
                <w:rFonts w:hint="eastAsia" w:asciiTheme="minorEastAsia" w:hAnsiTheme="minorEastAsia" w:eastAsiaTheme="minorEastAsia" w:cstheme="minorEastAsia"/>
                <w:sz w:val="28"/>
                <w:szCs w:val="28"/>
                <w:lang w:val="en-US" w:eastAsia="zh-CN" w:bidi="ar"/>
              </w:rPr>
              <w:br w:type="textWrapping"/>
            </w:r>
            <w:r>
              <w:rPr>
                <w:rStyle w:val="17"/>
                <w:rFonts w:hint="eastAsia" w:asciiTheme="minorEastAsia" w:hAnsiTheme="minorEastAsia" w:eastAsiaTheme="minorEastAsia" w:cstheme="minorEastAsia"/>
                <w:sz w:val="28"/>
                <w:szCs w:val="28"/>
                <w:lang w:val="en-US" w:eastAsia="zh-CN" w:bidi="ar"/>
              </w:rPr>
              <w:t>龙</w:t>
            </w:r>
            <w:r>
              <w:rPr>
                <w:rStyle w:val="17"/>
                <w:rFonts w:hint="eastAsia" w:asciiTheme="minorEastAsia" w:hAnsiTheme="minorEastAsia" w:eastAsiaTheme="minorEastAsia" w:cstheme="minorEastAsia"/>
                <w:sz w:val="28"/>
                <w:szCs w:val="28"/>
                <w:lang w:val="en-US" w:eastAsia="zh-CN" w:bidi="ar"/>
              </w:rPr>
              <w:br w:type="textWrapping"/>
            </w:r>
            <w:r>
              <w:rPr>
                <w:rStyle w:val="17"/>
                <w:rFonts w:hint="eastAsia" w:asciiTheme="minorEastAsia" w:hAnsiTheme="minorEastAsia" w:eastAsiaTheme="minorEastAsia" w:cstheme="minorEastAsia"/>
                <w:sz w:val="28"/>
                <w:szCs w:val="28"/>
                <w:lang w:val="en-US" w:eastAsia="zh-CN" w:bidi="ar"/>
              </w:rPr>
              <w:t>江</w:t>
            </w:r>
            <w:r>
              <w:rPr>
                <w:rStyle w:val="17"/>
                <w:rFonts w:hint="eastAsia" w:asciiTheme="minorEastAsia" w:hAnsiTheme="minorEastAsia" w:eastAsiaTheme="minorEastAsia" w:cstheme="minorEastAsia"/>
                <w:sz w:val="28"/>
                <w:szCs w:val="28"/>
                <w:lang w:val="en-US" w:eastAsia="zh-CN" w:bidi="ar"/>
              </w:rPr>
              <w:br w:type="textWrapping"/>
            </w:r>
            <w:r>
              <w:rPr>
                <w:rStyle w:val="17"/>
                <w:rFonts w:hint="eastAsia" w:asciiTheme="minorEastAsia" w:hAnsiTheme="minorEastAsia" w:eastAsiaTheme="minorEastAsia" w:cstheme="minorEastAsia"/>
                <w:sz w:val="28"/>
                <w:szCs w:val="28"/>
                <w:lang w:val="en-US" w:eastAsia="zh-CN" w:bidi="ar"/>
              </w:rPr>
              <w:t>尊</w:t>
            </w:r>
            <w:r>
              <w:rPr>
                <w:rStyle w:val="17"/>
                <w:rFonts w:hint="eastAsia" w:asciiTheme="minorEastAsia" w:hAnsiTheme="minorEastAsia" w:eastAsiaTheme="minorEastAsia" w:cstheme="minorEastAsia"/>
                <w:sz w:val="28"/>
                <w:szCs w:val="28"/>
                <w:lang w:val="en-US" w:eastAsia="zh-CN" w:bidi="ar"/>
              </w:rPr>
              <w:br w:type="textWrapping"/>
            </w:r>
            <w:r>
              <w:rPr>
                <w:rStyle w:val="17"/>
                <w:rFonts w:hint="eastAsia" w:asciiTheme="minorEastAsia" w:hAnsiTheme="minorEastAsia" w:eastAsiaTheme="minorEastAsia" w:cstheme="minorEastAsia"/>
                <w:sz w:val="28"/>
                <w:szCs w:val="28"/>
                <w:lang w:val="en-US" w:eastAsia="zh-CN" w:bidi="ar"/>
              </w:rPr>
              <w:t>府</w:t>
            </w:r>
            <w:r>
              <w:rPr>
                <w:rStyle w:val="17"/>
                <w:rFonts w:hint="eastAsia" w:asciiTheme="minorEastAsia" w:hAnsiTheme="minorEastAsia" w:eastAsiaTheme="minorEastAsia" w:cstheme="minorEastAsia"/>
                <w:sz w:val="28"/>
                <w:szCs w:val="28"/>
                <w:lang w:val="en-US" w:eastAsia="zh-CN" w:bidi="ar"/>
              </w:rPr>
              <w:br w:type="textWrapping"/>
            </w:r>
            <w:r>
              <w:rPr>
                <w:rStyle w:val="17"/>
                <w:rFonts w:hint="eastAsia" w:asciiTheme="minorEastAsia" w:hAnsiTheme="minorEastAsia" w:eastAsiaTheme="minorEastAsia" w:cstheme="minorEastAsia"/>
                <w:sz w:val="28"/>
                <w:szCs w:val="28"/>
                <w:lang w:val="en-US" w:eastAsia="zh-CN" w:bidi="ar"/>
              </w:rPr>
              <w:t>3</w:t>
            </w:r>
            <w:r>
              <w:rPr>
                <w:rStyle w:val="17"/>
                <w:rFonts w:hint="eastAsia" w:asciiTheme="minorEastAsia" w:hAnsiTheme="minorEastAsia" w:eastAsiaTheme="minorEastAsia" w:cstheme="minorEastAsia"/>
                <w:sz w:val="28"/>
                <w:szCs w:val="28"/>
                <w:lang w:val="en-US" w:eastAsia="zh-CN" w:bidi="ar"/>
              </w:rPr>
              <w:br w:type="textWrapping"/>
            </w:r>
            <w:r>
              <w:rPr>
                <w:rStyle w:val="17"/>
                <w:rFonts w:hint="eastAsia" w:asciiTheme="minorEastAsia" w:hAnsiTheme="minorEastAsia" w:eastAsiaTheme="minorEastAsia" w:cstheme="minorEastAsia"/>
                <w:sz w:val="28"/>
                <w:szCs w:val="28"/>
                <w:lang w:val="en-US" w:eastAsia="zh-CN" w:bidi="ar"/>
              </w:rPr>
              <w:t>号</w:t>
            </w:r>
            <w:r>
              <w:rPr>
                <w:rStyle w:val="17"/>
                <w:rFonts w:hint="eastAsia" w:asciiTheme="minorEastAsia" w:hAnsiTheme="minorEastAsia" w:eastAsiaTheme="minorEastAsia" w:cstheme="minorEastAsia"/>
                <w:sz w:val="28"/>
                <w:szCs w:val="28"/>
                <w:lang w:val="en-US" w:eastAsia="zh-CN" w:bidi="ar"/>
              </w:rPr>
              <w:br w:type="textWrapping"/>
            </w:r>
            <w:r>
              <w:rPr>
                <w:rStyle w:val="17"/>
                <w:rFonts w:hint="eastAsia" w:asciiTheme="minorEastAsia" w:hAnsiTheme="minorEastAsia" w:eastAsiaTheme="minorEastAsia" w:cstheme="minorEastAsia"/>
                <w:sz w:val="28"/>
                <w:szCs w:val="28"/>
                <w:lang w:val="en-US" w:eastAsia="zh-CN" w:bidi="ar"/>
              </w:rPr>
              <w:t>楼</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7DE8">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94FF">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101铺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7AE1">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101.63</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76AB">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平方米</w:t>
            </w:r>
          </w:p>
        </w:tc>
      </w:tr>
      <w:tr w14:paraId="0FBE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A932">
            <w:pPr>
              <w:keepNext w:val="0"/>
              <w:keepLines w:val="0"/>
              <w:pageBreakBefore w:val="0"/>
              <w:widowControl/>
              <w:kinsoku/>
              <w:wordWrap/>
              <w:overflowPunct/>
              <w:topLinePunct w:val="0"/>
              <w:autoSpaceDE/>
              <w:autoSpaceDN/>
              <w:bidi w:val="0"/>
              <w:adjustRightInd/>
              <w:snapToGrid/>
              <w:spacing w:line="580" w:lineRule="exact"/>
              <w:jc w:val="both"/>
              <w:rPr>
                <w:rFonts w:hint="eastAsia" w:asciiTheme="minorEastAsia" w:hAnsiTheme="minorEastAsia" w:eastAsiaTheme="minorEastAsia" w:cstheme="minorEastAsia"/>
                <w:i w:val="0"/>
                <w:iCs w:val="0"/>
                <w:color w:val="000000"/>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159D">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13BA">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102铺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BD02">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44.11</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C183">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平方米</w:t>
            </w:r>
          </w:p>
        </w:tc>
      </w:tr>
      <w:tr w14:paraId="37B8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A715F">
            <w:pPr>
              <w:keepNext w:val="0"/>
              <w:keepLines w:val="0"/>
              <w:pageBreakBefore w:val="0"/>
              <w:widowControl/>
              <w:kinsoku/>
              <w:wordWrap/>
              <w:overflowPunct/>
              <w:topLinePunct w:val="0"/>
              <w:autoSpaceDE/>
              <w:autoSpaceDN/>
              <w:bidi w:val="0"/>
              <w:adjustRightInd/>
              <w:snapToGrid/>
              <w:spacing w:line="580" w:lineRule="exact"/>
              <w:jc w:val="both"/>
              <w:rPr>
                <w:rFonts w:hint="eastAsia" w:asciiTheme="minorEastAsia" w:hAnsiTheme="minorEastAsia" w:eastAsiaTheme="minorEastAsia" w:cstheme="minorEastAsia"/>
                <w:i w:val="0"/>
                <w:iCs w:val="0"/>
                <w:color w:val="000000"/>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8EBA">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FB2C">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103铺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B84A">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68.74</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8926">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平方米</w:t>
            </w:r>
          </w:p>
        </w:tc>
      </w:tr>
      <w:tr w14:paraId="5BCE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16D5">
            <w:pPr>
              <w:keepNext w:val="0"/>
              <w:keepLines w:val="0"/>
              <w:pageBreakBefore w:val="0"/>
              <w:widowControl/>
              <w:kinsoku/>
              <w:wordWrap/>
              <w:overflowPunct/>
              <w:topLinePunct w:val="0"/>
              <w:autoSpaceDE/>
              <w:autoSpaceDN/>
              <w:bidi w:val="0"/>
              <w:adjustRightInd/>
              <w:snapToGrid/>
              <w:spacing w:line="580" w:lineRule="exact"/>
              <w:jc w:val="both"/>
              <w:rPr>
                <w:rFonts w:hint="eastAsia" w:asciiTheme="minorEastAsia" w:hAnsiTheme="minorEastAsia" w:eastAsiaTheme="minorEastAsia" w:cstheme="minorEastAsia"/>
                <w:i w:val="0"/>
                <w:iCs w:val="0"/>
                <w:color w:val="000000"/>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7945">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7FBB">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105铺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2C85">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95.88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CC74">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平方米</w:t>
            </w:r>
          </w:p>
        </w:tc>
      </w:tr>
      <w:tr w14:paraId="0556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FAA9">
            <w:pPr>
              <w:keepNext w:val="0"/>
              <w:keepLines w:val="0"/>
              <w:pageBreakBefore w:val="0"/>
              <w:widowControl/>
              <w:kinsoku/>
              <w:wordWrap/>
              <w:overflowPunct/>
              <w:topLinePunct w:val="0"/>
              <w:autoSpaceDE/>
              <w:autoSpaceDN/>
              <w:bidi w:val="0"/>
              <w:adjustRightInd/>
              <w:snapToGrid/>
              <w:spacing w:line="580" w:lineRule="exact"/>
              <w:jc w:val="both"/>
              <w:rPr>
                <w:rFonts w:hint="eastAsia" w:asciiTheme="minorEastAsia" w:hAnsiTheme="minorEastAsia" w:eastAsiaTheme="minorEastAsia" w:cstheme="minorEastAsia"/>
                <w:i w:val="0"/>
                <w:iCs w:val="0"/>
                <w:color w:val="000000"/>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F5F3">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CAD9">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201铺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EC7C">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1307.44</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1807">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平方米</w:t>
            </w:r>
          </w:p>
        </w:tc>
      </w:tr>
      <w:tr w14:paraId="0EDF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1E6A">
            <w:pPr>
              <w:keepNext w:val="0"/>
              <w:keepLines w:val="0"/>
              <w:pageBreakBefore w:val="0"/>
              <w:widowControl/>
              <w:kinsoku/>
              <w:wordWrap/>
              <w:overflowPunct/>
              <w:topLinePunct w:val="0"/>
              <w:autoSpaceDE/>
              <w:autoSpaceDN/>
              <w:bidi w:val="0"/>
              <w:adjustRightInd/>
              <w:snapToGrid/>
              <w:spacing w:line="580" w:lineRule="exact"/>
              <w:jc w:val="both"/>
              <w:rPr>
                <w:rFonts w:hint="eastAsia" w:asciiTheme="minorEastAsia" w:hAnsiTheme="minorEastAsia" w:eastAsiaTheme="minorEastAsia" w:cstheme="minorEastAsia"/>
                <w:i w:val="0"/>
                <w:iCs w:val="0"/>
                <w:color w:val="000000"/>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A024">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A9CE">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301铺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6FDB">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1677.71</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8716">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平方米</w:t>
            </w:r>
          </w:p>
        </w:tc>
      </w:tr>
      <w:tr w14:paraId="50F9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A786">
            <w:pPr>
              <w:keepNext w:val="0"/>
              <w:keepLines w:val="0"/>
              <w:pageBreakBefore w:val="0"/>
              <w:widowControl/>
              <w:kinsoku/>
              <w:wordWrap/>
              <w:overflowPunct/>
              <w:topLinePunct w:val="0"/>
              <w:autoSpaceDE/>
              <w:autoSpaceDN/>
              <w:bidi w:val="0"/>
              <w:adjustRightInd/>
              <w:snapToGrid/>
              <w:spacing w:line="580" w:lineRule="exact"/>
              <w:jc w:val="both"/>
              <w:rPr>
                <w:rFonts w:hint="eastAsia" w:asciiTheme="minorEastAsia" w:hAnsiTheme="minorEastAsia" w:eastAsiaTheme="minorEastAsia" w:cstheme="minorEastAsia"/>
                <w:i w:val="0"/>
                <w:iCs w:val="0"/>
                <w:color w:val="000000"/>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5D46">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530F">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401铺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2F69">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1674.94</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91A7">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平方米</w:t>
            </w:r>
          </w:p>
        </w:tc>
      </w:tr>
      <w:tr w14:paraId="5C0A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C7FD">
            <w:pPr>
              <w:keepNext w:val="0"/>
              <w:keepLines w:val="0"/>
              <w:pageBreakBefore w:val="0"/>
              <w:widowControl/>
              <w:kinsoku/>
              <w:wordWrap/>
              <w:overflowPunct/>
              <w:topLinePunct w:val="0"/>
              <w:autoSpaceDE/>
              <w:autoSpaceDN/>
              <w:bidi w:val="0"/>
              <w:adjustRightInd/>
              <w:snapToGrid/>
              <w:spacing w:line="580" w:lineRule="exact"/>
              <w:jc w:val="both"/>
              <w:rPr>
                <w:rFonts w:hint="eastAsia" w:asciiTheme="minorEastAsia" w:hAnsiTheme="minorEastAsia" w:eastAsiaTheme="minorEastAsia" w:cstheme="minorEastAsia"/>
                <w:i w:val="0"/>
                <w:iCs w:val="0"/>
                <w:color w:val="000000"/>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A209">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4352">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商务酒店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0C8A">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13336.93</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66CA">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平方米</w:t>
            </w:r>
          </w:p>
        </w:tc>
      </w:tr>
      <w:tr w14:paraId="6C04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2EB2">
            <w:pPr>
              <w:keepNext w:val="0"/>
              <w:keepLines w:val="0"/>
              <w:pageBreakBefore w:val="0"/>
              <w:widowControl/>
              <w:kinsoku/>
              <w:wordWrap/>
              <w:overflowPunct/>
              <w:topLinePunct w:val="0"/>
              <w:autoSpaceDE/>
              <w:autoSpaceDN/>
              <w:bidi w:val="0"/>
              <w:adjustRightInd/>
              <w:snapToGrid/>
              <w:spacing w:line="580" w:lineRule="exact"/>
              <w:jc w:val="both"/>
              <w:rPr>
                <w:rFonts w:hint="eastAsia" w:asciiTheme="minorEastAsia" w:hAnsiTheme="minorEastAsia" w:eastAsiaTheme="minorEastAsia" w:cstheme="minorEastAsia"/>
                <w:i w:val="0"/>
                <w:iCs w:val="0"/>
                <w:color w:val="000000"/>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A37A">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FBD9">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负一层标准车位</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E823">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E5A">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r>
      <w:tr w14:paraId="702A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D043F">
            <w:pPr>
              <w:keepNext w:val="0"/>
              <w:keepLines w:val="0"/>
              <w:pageBreakBefore w:val="0"/>
              <w:widowControl/>
              <w:kinsoku/>
              <w:wordWrap/>
              <w:overflowPunct/>
              <w:topLinePunct w:val="0"/>
              <w:autoSpaceDE/>
              <w:autoSpaceDN/>
              <w:bidi w:val="0"/>
              <w:adjustRightInd/>
              <w:snapToGrid/>
              <w:spacing w:line="580" w:lineRule="exact"/>
              <w:jc w:val="both"/>
              <w:rPr>
                <w:rFonts w:hint="eastAsia" w:asciiTheme="minorEastAsia" w:hAnsiTheme="minorEastAsia" w:eastAsiaTheme="minorEastAsia" w:cstheme="minorEastAsia"/>
                <w:i w:val="0"/>
                <w:iCs w:val="0"/>
                <w:color w:val="000000"/>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40AA">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CB85">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负一层子母车位</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A8D6">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42F1">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r>
      <w:tr w14:paraId="3D48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CA3D1">
            <w:pPr>
              <w:keepNext w:val="0"/>
              <w:keepLines w:val="0"/>
              <w:pageBreakBefore w:val="0"/>
              <w:widowControl/>
              <w:kinsoku/>
              <w:wordWrap/>
              <w:overflowPunct/>
              <w:topLinePunct w:val="0"/>
              <w:autoSpaceDE/>
              <w:autoSpaceDN/>
              <w:bidi w:val="0"/>
              <w:adjustRightInd/>
              <w:snapToGrid/>
              <w:spacing w:line="580" w:lineRule="exact"/>
              <w:jc w:val="both"/>
              <w:rPr>
                <w:rFonts w:hint="eastAsia" w:asciiTheme="minorEastAsia" w:hAnsiTheme="minorEastAsia" w:eastAsiaTheme="minorEastAsia" w:cstheme="minorEastAsia"/>
                <w:i w:val="0"/>
                <w:iCs w:val="0"/>
                <w:color w:val="000000"/>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D429">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9E43">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负二层标准车位</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D346">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9191">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r>
    </w:tbl>
    <w:p w14:paraId="60CB6494">
      <w:pPr>
        <w:keepNext w:val="0"/>
        <w:keepLines w:val="0"/>
        <w:pageBreakBefore w:val="0"/>
        <w:widowControl w:val="0"/>
        <w:kinsoku/>
        <w:wordWrap/>
        <w:overflowPunct/>
        <w:topLinePunct w:val="0"/>
        <w:autoSpaceDE/>
        <w:autoSpaceDN/>
        <w:bidi w:val="0"/>
        <w:adjustRightInd/>
        <w:snapToGrid/>
        <w:spacing w:line="580" w:lineRule="exact"/>
        <w:ind w:right="50" w:rightChars="24" w:firstLine="562" w:firstLineChars="200"/>
        <w:jc w:val="both"/>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二、甲方</w:t>
      </w:r>
      <w:r>
        <w:rPr>
          <w:rFonts w:hint="eastAsia" w:asciiTheme="minorEastAsia" w:hAnsiTheme="minorEastAsia" w:eastAsiaTheme="minorEastAsia" w:cstheme="minorEastAsia"/>
          <w:b/>
          <w:color w:val="auto"/>
          <w:sz w:val="28"/>
          <w:szCs w:val="28"/>
          <w:highlight w:val="none"/>
          <w:lang w:val="en-US" w:eastAsia="zh-CN"/>
        </w:rPr>
        <w:t>的权利与</w:t>
      </w:r>
      <w:r>
        <w:rPr>
          <w:rFonts w:hint="eastAsia" w:asciiTheme="minorEastAsia" w:hAnsiTheme="minorEastAsia" w:eastAsiaTheme="minorEastAsia" w:cstheme="minorEastAsia"/>
          <w:b/>
          <w:color w:val="auto"/>
          <w:sz w:val="28"/>
          <w:szCs w:val="28"/>
          <w:highlight w:val="none"/>
        </w:rPr>
        <w:t>义务</w:t>
      </w:r>
    </w:p>
    <w:p w14:paraId="43C00C14">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u w:val="single"/>
          <w:lang w:eastAsia="zh-CN"/>
        </w:rPr>
      </w:pPr>
      <w:r>
        <w:rPr>
          <w:rFonts w:hint="eastAsia" w:asciiTheme="minorEastAsia" w:hAnsiTheme="minorEastAsia" w:eastAsiaTheme="minorEastAsia" w:cstheme="minorEastAsia"/>
          <w:color w:val="auto"/>
          <w:sz w:val="28"/>
          <w:szCs w:val="28"/>
          <w:highlight w:val="none"/>
        </w:rPr>
        <w:t>1.甲方提</w:t>
      </w:r>
      <w:r>
        <w:rPr>
          <w:rFonts w:hint="eastAsia" w:asciiTheme="minorEastAsia" w:hAnsiTheme="minorEastAsia" w:eastAsiaTheme="minorEastAsia" w:cstheme="minorEastAsia"/>
          <w:color w:val="auto"/>
          <w:sz w:val="28"/>
          <w:szCs w:val="28"/>
          <w:highlight w:val="none"/>
          <w:lang w:val="en-US" w:eastAsia="zh-CN"/>
        </w:rPr>
        <w:t>供房地产权属证明、图纸、使用状况等</w:t>
      </w:r>
      <w:r>
        <w:rPr>
          <w:rFonts w:hint="eastAsia" w:asciiTheme="minorEastAsia" w:hAnsiTheme="minorEastAsia" w:eastAsiaTheme="minorEastAsia" w:cstheme="minorEastAsia"/>
          <w:color w:val="auto"/>
          <w:sz w:val="28"/>
          <w:szCs w:val="28"/>
          <w:highlight w:val="none"/>
        </w:rPr>
        <w:t>真实性资料</w:t>
      </w:r>
      <w:r>
        <w:rPr>
          <w:rFonts w:hint="eastAsia" w:asciiTheme="minorEastAsia" w:hAnsiTheme="minorEastAsia" w:eastAsiaTheme="minorEastAsia" w:cstheme="minorEastAsia"/>
          <w:color w:val="auto"/>
          <w:sz w:val="28"/>
          <w:szCs w:val="28"/>
          <w:highlight w:val="none"/>
          <w:lang w:eastAsia="zh-CN"/>
        </w:rPr>
        <w:t>；</w:t>
      </w:r>
    </w:p>
    <w:p w14:paraId="41040751">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2.甲方有义务</w:t>
      </w:r>
      <w:r>
        <w:rPr>
          <w:rFonts w:hint="eastAsia" w:asciiTheme="minorEastAsia" w:hAnsiTheme="minorEastAsia" w:eastAsiaTheme="minorEastAsia" w:cstheme="minorEastAsia"/>
          <w:color w:val="auto"/>
          <w:sz w:val="28"/>
          <w:szCs w:val="28"/>
          <w:highlight w:val="none"/>
          <w:lang w:val="en-US" w:eastAsia="zh-CN"/>
        </w:rPr>
        <w:t>为</w:t>
      </w:r>
      <w:r>
        <w:rPr>
          <w:rFonts w:hint="eastAsia" w:asciiTheme="minorEastAsia" w:hAnsiTheme="minorEastAsia" w:eastAsiaTheme="minorEastAsia" w:cstheme="minorEastAsia"/>
          <w:color w:val="auto"/>
          <w:sz w:val="28"/>
          <w:szCs w:val="28"/>
          <w:highlight w:val="none"/>
        </w:rPr>
        <w:t>乙方</w:t>
      </w:r>
      <w:r>
        <w:rPr>
          <w:rFonts w:hint="eastAsia" w:asciiTheme="minorEastAsia" w:hAnsiTheme="minorEastAsia" w:eastAsiaTheme="minorEastAsia" w:cstheme="minorEastAsia"/>
          <w:color w:val="auto"/>
          <w:sz w:val="28"/>
          <w:szCs w:val="28"/>
          <w:highlight w:val="none"/>
          <w:lang w:val="en-US" w:eastAsia="zh-CN"/>
        </w:rPr>
        <w:t>评估工作</w:t>
      </w:r>
      <w:r>
        <w:rPr>
          <w:rFonts w:hint="eastAsia" w:asciiTheme="minorEastAsia" w:hAnsiTheme="minorEastAsia" w:eastAsiaTheme="minorEastAsia" w:cstheme="minorEastAsia"/>
          <w:color w:val="auto"/>
          <w:sz w:val="28"/>
          <w:szCs w:val="28"/>
          <w:highlight w:val="none"/>
        </w:rPr>
        <w:t>人员进行现场勘察，提供</w:t>
      </w:r>
      <w:r>
        <w:rPr>
          <w:rFonts w:hint="eastAsia" w:asciiTheme="minorEastAsia" w:hAnsiTheme="minorEastAsia" w:eastAsiaTheme="minorEastAsia" w:cstheme="minorEastAsia"/>
          <w:color w:val="auto"/>
          <w:sz w:val="28"/>
          <w:szCs w:val="28"/>
          <w:highlight w:val="none"/>
          <w:lang w:val="en-US" w:eastAsia="zh-CN"/>
        </w:rPr>
        <w:t>必要协助</w:t>
      </w:r>
      <w:r>
        <w:rPr>
          <w:rFonts w:hint="eastAsia" w:asciiTheme="minorEastAsia" w:hAnsiTheme="minorEastAsia" w:eastAsiaTheme="minorEastAsia" w:cstheme="minorEastAsia"/>
          <w:color w:val="auto"/>
          <w:sz w:val="28"/>
          <w:szCs w:val="28"/>
          <w:highlight w:val="none"/>
          <w:lang w:eastAsia="zh-CN"/>
        </w:rPr>
        <w:t>；</w:t>
      </w:r>
    </w:p>
    <w:p w14:paraId="3F3C58DF">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3.甲方应当按照合同约定向乙方支付评估服务费</w:t>
      </w:r>
      <w:r>
        <w:rPr>
          <w:rFonts w:hint="eastAsia" w:asciiTheme="minorEastAsia" w:hAnsiTheme="minorEastAsia" w:eastAsiaTheme="minorEastAsia" w:cstheme="minorEastAsia"/>
          <w:color w:val="auto"/>
          <w:sz w:val="28"/>
          <w:szCs w:val="28"/>
          <w:highlight w:val="none"/>
          <w:lang w:eastAsia="zh-CN"/>
        </w:rPr>
        <w:t>；</w:t>
      </w:r>
    </w:p>
    <w:p w14:paraId="65D047E8">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4.甲方对所提供的材料的真实性负责</w:t>
      </w:r>
      <w:r>
        <w:rPr>
          <w:rFonts w:hint="eastAsia" w:asciiTheme="minorEastAsia" w:hAnsiTheme="minorEastAsia" w:eastAsiaTheme="minorEastAsia" w:cstheme="minorEastAsia"/>
          <w:color w:val="auto"/>
          <w:sz w:val="28"/>
          <w:szCs w:val="28"/>
          <w:highlight w:val="none"/>
          <w:lang w:val="en-US" w:eastAsia="zh-CN"/>
        </w:rPr>
        <w:t>;</w:t>
      </w:r>
    </w:p>
    <w:p w14:paraId="41764032">
      <w:pPr>
        <w:pStyle w:val="2"/>
        <w:keepNext w:val="0"/>
        <w:keepLines w:val="0"/>
        <w:pageBreakBefore w:val="0"/>
        <w:widowControl w:val="0"/>
        <w:kinsoku/>
        <w:wordWrap/>
        <w:overflowPunct/>
        <w:topLinePunct w:val="0"/>
        <w:autoSpaceDE/>
        <w:autoSpaceDN/>
        <w:bidi w:val="0"/>
        <w:adjustRightInd/>
        <w:spacing w:line="5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5.甲方有权对乙方的评估过程进行合理监督,要求乙方说明评估方法、参数选取依据等。</w:t>
      </w:r>
    </w:p>
    <w:p w14:paraId="7EC3B269">
      <w:pPr>
        <w:keepNext w:val="0"/>
        <w:keepLines w:val="0"/>
        <w:pageBreakBefore w:val="0"/>
        <w:widowControl w:val="0"/>
        <w:kinsoku/>
        <w:wordWrap/>
        <w:overflowPunct/>
        <w:topLinePunct w:val="0"/>
        <w:autoSpaceDE/>
        <w:autoSpaceDN/>
        <w:bidi w:val="0"/>
        <w:adjustRightInd/>
        <w:snapToGrid/>
        <w:spacing w:line="580" w:lineRule="exact"/>
        <w:ind w:right="50" w:rightChars="24" w:firstLine="562" w:firstLineChars="200"/>
        <w:jc w:val="both"/>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三、乙方</w:t>
      </w:r>
      <w:r>
        <w:rPr>
          <w:rFonts w:hint="eastAsia" w:asciiTheme="minorEastAsia" w:hAnsiTheme="minorEastAsia" w:eastAsiaTheme="minorEastAsia" w:cstheme="minorEastAsia"/>
          <w:b/>
          <w:color w:val="auto"/>
          <w:sz w:val="28"/>
          <w:szCs w:val="28"/>
          <w:highlight w:val="none"/>
          <w:lang w:val="en-US" w:eastAsia="zh-CN"/>
        </w:rPr>
        <w:t>的权利与</w:t>
      </w:r>
      <w:r>
        <w:rPr>
          <w:rFonts w:hint="eastAsia" w:asciiTheme="minorEastAsia" w:hAnsiTheme="minorEastAsia" w:eastAsiaTheme="minorEastAsia" w:cstheme="minorEastAsia"/>
          <w:b/>
          <w:color w:val="auto"/>
          <w:sz w:val="28"/>
          <w:szCs w:val="28"/>
          <w:highlight w:val="none"/>
        </w:rPr>
        <w:t>义务</w:t>
      </w:r>
    </w:p>
    <w:p w14:paraId="7B358007">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1.合同签订后，乙方应</w:t>
      </w:r>
      <w:r>
        <w:rPr>
          <w:rFonts w:hint="eastAsia" w:asciiTheme="minorEastAsia" w:hAnsiTheme="minorEastAsia" w:eastAsiaTheme="minorEastAsia" w:cstheme="minorEastAsia"/>
          <w:color w:val="auto"/>
          <w:sz w:val="28"/>
          <w:szCs w:val="28"/>
          <w:highlight w:val="none"/>
          <w:lang w:val="en-US" w:eastAsia="zh-CN"/>
        </w:rPr>
        <w:t>当依照</w:t>
      </w:r>
      <w:r>
        <w:rPr>
          <w:rFonts w:hint="eastAsia" w:asciiTheme="minorEastAsia" w:hAnsiTheme="minorEastAsia" w:eastAsiaTheme="minorEastAsia" w:cstheme="minorEastAsia"/>
          <w:color w:val="auto"/>
          <w:sz w:val="28"/>
          <w:szCs w:val="28"/>
          <w:highlight w:val="none"/>
        </w:rPr>
        <w:t>客观、公正、独立</w:t>
      </w:r>
      <w:r>
        <w:rPr>
          <w:rFonts w:hint="eastAsia" w:asciiTheme="minorEastAsia" w:hAnsiTheme="minorEastAsia" w:eastAsiaTheme="minorEastAsia" w:cstheme="minorEastAsia"/>
          <w:color w:val="auto"/>
          <w:sz w:val="28"/>
          <w:szCs w:val="28"/>
          <w:highlight w:val="none"/>
          <w:lang w:val="en-US" w:eastAsia="zh-CN"/>
        </w:rPr>
        <w:t>的原则进行评估，遵守《房地产估价规范》及相关法律、法规，</w:t>
      </w:r>
      <w:r>
        <w:rPr>
          <w:rFonts w:hint="eastAsia" w:asciiTheme="minorEastAsia" w:hAnsiTheme="minorEastAsia" w:eastAsiaTheme="minorEastAsia" w:cstheme="minorEastAsia"/>
          <w:color w:val="auto"/>
          <w:sz w:val="28"/>
          <w:szCs w:val="28"/>
          <w:highlight w:val="none"/>
        </w:rPr>
        <w:t>对估价对象</w:t>
      </w:r>
      <w:r>
        <w:rPr>
          <w:rFonts w:hint="eastAsia" w:asciiTheme="minorEastAsia" w:hAnsiTheme="minorEastAsia" w:eastAsiaTheme="minorEastAsia" w:cstheme="minorEastAsia"/>
          <w:color w:val="auto"/>
          <w:sz w:val="28"/>
          <w:szCs w:val="28"/>
          <w:highlight w:val="none"/>
          <w:lang w:val="en-US" w:eastAsia="zh-CN"/>
        </w:rPr>
        <w:t>在评估时点和本合同约定的评估目的价值进行分析和估算并出具评估报告。</w:t>
      </w:r>
    </w:p>
    <w:p w14:paraId="32111F8A">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2.乙方应于收到甲方</w:t>
      </w:r>
      <w:r>
        <w:rPr>
          <w:rFonts w:hint="eastAsia" w:asciiTheme="minorEastAsia" w:hAnsiTheme="minorEastAsia" w:eastAsiaTheme="minorEastAsia" w:cstheme="minorEastAsia"/>
          <w:color w:val="auto"/>
          <w:sz w:val="28"/>
          <w:szCs w:val="28"/>
          <w:highlight w:val="none"/>
          <w:lang w:val="en-US" w:eastAsia="zh-CN"/>
        </w:rPr>
        <w:t>提供</w:t>
      </w:r>
      <w:r>
        <w:rPr>
          <w:rFonts w:hint="eastAsia" w:asciiTheme="minorEastAsia" w:hAnsiTheme="minorEastAsia" w:eastAsiaTheme="minorEastAsia" w:cstheme="minorEastAsia"/>
          <w:color w:val="auto"/>
          <w:sz w:val="28"/>
          <w:szCs w:val="28"/>
          <w:highlight w:val="none"/>
        </w:rPr>
        <w:t>的全部估价基础资料之日起</w:t>
      </w:r>
      <w:r>
        <w:rPr>
          <w:rFonts w:hint="eastAsia" w:asciiTheme="minorEastAsia" w:hAnsiTheme="minorEastAsia" w:eastAsiaTheme="minorEastAsia" w:cstheme="minorEastAsia"/>
          <w:b w:val="0"/>
          <w:bCs/>
          <w:color w:val="auto"/>
          <w:sz w:val="28"/>
          <w:szCs w:val="28"/>
          <w:highlight w:val="none"/>
          <w:u w:val="none"/>
          <w:lang w:val="en-US" w:eastAsia="zh-CN"/>
        </w:rPr>
        <w:t>15</w:t>
      </w:r>
      <w:r>
        <w:rPr>
          <w:rFonts w:hint="eastAsia" w:asciiTheme="minorEastAsia" w:hAnsiTheme="minorEastAsia" w:eastAsiaTheme="minorEastAsia" w:cstheme="minorEastAsia"/>
          <w:color w:val="auto"/>
          <w:sz w:val="28"/>
          <w:szCs w:val="28"/>
          <w:highlight w:val="none"/>
        </w:rPr>
        <w:t>个工作日内</w:t>
      </w:r>
      <w:r>
        <w:rPr>
          <w:rFonts w:hint="eastAsia" w:asciiTheme="minorEastAsia" w:hAnsiTheme="minorEastAsia" w:eastAsiaTheme="minorEastAsia" w:cstheme="minorEastAsia"/>
          <w:color w:val="auto"/>
          <w:sz w:val="28"/>
          <w:szCs w:val="28"/>
          <w:highlight w:val="none"/>
          <w:lang w:val="en-US" w:eastAsia="zh-CN"/>
        </w:rPr>
        <w:t>完成所有评估工作并</w:t>
      </w:r>
      <w:r>
        <w:rPr>
          <w:rFonts w:hint="eastAsia" w:asciiTheme="minorEastAsia" w:hAnsiTheme="minorEastAsia" w:eastAsiaTheme="minorEastAsia" w:cstheme="minorEastAsia"/>
          <w:color w:val="auto"/>
          <w:sz w:val="28"/>
          <w:szCs w:val="28"/>
          <w:highlight w:val="none"/>
        </w:rPr>
        <w:t>提交正式估价报告书。</w:t>
      </w:r>
    </w:p>
    <w:p w14:paraId="54F57A48">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3.乙方</w:t>
      </w:r>
      <w:r>
        <w:rPr>
          <w:rFonts w:hint="eastAsia" w:asciiTheme="minorEastAsia" w:hAnsiTheme="minorEastAsia" w:eastAsiaTheme="minorEastAsia" w:cstheme="minorEastAsia"/>
          <w:color w:val="auto"/>
          <w:sz w:val="28"/>
          <w:szCs w:val="28"/>
          <w:highlight w:val="none"/>
          <w:lang w:val="en-US" w:eastAsia="zh-CN"/>
        </w:rPr>
        <w:t>对出具评估报告的完整性、真实性、合法性负责，并负相应的法律责任。</w:t>
      </w:r>
      <w:r>
        <w:rPr>
          <w:rFonts w:hint="eastAsia" w:asciiTheme="minorEastAsia" w:hAnsiTheme="minorEastAsia" w:eastAsiaTheme="minorEastAsia" w:cstheme="minorEastAsia"/>
          <w:color w:val="auto"/>
          <w:sz w:val="28"/>
          <w:szCs w:val="28"/>
          <w:highlight w:val="none"/>
        </w:rPr>
        <w:t>甲方提供委估房地产的文件资料应妥善保管，</w:t>
      </w:r>
      <w:r>
        <w:rPr>
          <w:rFonts w:hint="eastAsia" w:asciiTheme="minorEastAsia" w:hAnsiTheme="minorEastAsia" w:eastAsiaTheme="minorEastAsia" w:cstheme="minorEastAsia"/>
          <w:color w:val="auto"/>
          <w:sz w:val="28"/>
          <w:szCs w:val="28"/>
          <w:highlight w:val="none"/>
          <w:lang w:val="en-US" w:eastAsia="zh-CN"/>
        </w:rPr>
        <w:t>负有保密义务，</w:t>
      </w:r>
      <w:r>
        <w:rPr>
          <w:rFonts w:hint="eastAsia" w:asciiTheme="minorEastAsia" w:hAnsiTheme="minorEastAsia" w:eastAsiaTheme="minorEastAsia" w:cstheme="minorEastAsia"/>
          <w:color w:val="auto"/>
          <w:sz w:val="28"/>
          <w:szCs w:val="28"/>
          <w:highlight w:val="none"/>
        </w:rPr>
        <w:t>未经</w:t>
      </w:r>
      <w:r>
        <w:rPr>
          <w:rFonts w:hint="eastAsia" w:asciiTheme="minorEastAsia" w:hAnsiTheme="minorEastAsia" w:eastAsiaTheme="minorEastAsia" w:cstheme="minorEastAsia"/>
          <w:color w:val="auto"/>
          <w:sz w:val="28"/>
          <w:szCs w:val="28"/>
          <w:highlight w:val="none"/>
          <w:lang w:val="en-US" w:eastAsia="zh-CN"/>
        </w:rPr>
        <w:t>甲方</w:t>
      </w:r>
      <w:r>
        <w:rPr>
          <w:rFonts w:hint="eastAsia" w:asciiTheme="minorEastAsia" w:hAnsiTheme="minorEastAsia" w:eastAsiaTheme="minorEastAsia" w:cstheme="minorEastAsia"/>
          <w:color w:val="auto"/>
          <w:sz w:val="28"/>
          <w:szCs w:val="28"/>
          <w:highlight w:val="none"/>
        </w:rPr>
        <w:t>同意不得</w:t>
      </w:r>
      <w:r>
        <w:rPr>
          <w:rFonts w:hint="eastAsia" w:asciiTheme="minorEastAsia" w:hAnsiTheme="minorEastAsia" w:eastAsiaTheme="minorEastAsia" w:cstheme="minorEastAsia"/>
          <w:color w:val="auto"/>
          <w:sz w:val="28"/>
          <w:szCs w:val="28"/>
          <w:highlight w:val="none"/>
          <w:lang w:val="en-US" w:eastAsia="zh-CN"/>
        </w:rPr>
        <w:t>向第三方披露</w:t>
      </w:r>
      <w:r>
        <w:rPr>
          <w:rFonts w:hint="eastAsia" w:asciiTheme="minorEastAsia" w:hAnsiTheme="minorEastAsia" w:eastAsiaTheme="minorEastAsia" w:cstheme="minorEastAsia"/>
          <w:color w:val="auto"/>
          <w:sz w:val="28"/>
          <w:szCs w:val="28"/>
          <w:highlight w:val="none"/>
        </w:rPr>
        <w:t>。</w:t>
      </w:r>
    </w:p>
    <w:p w14:paraId="046A056D">
      <w:pPr>
        <w:keepNext w:val="0"/>
        <w:keepLines w:val="0"/>
        <w:pageBreakBefore w:val="0"/>
        <w:widowControl w:val="0"/>
        <w:kinsoku/>
        <w:wordWrap/>
        <w:overflowPunct/>
        <w:topLinePunct w:val="0"/>
        <w:autoSpaceDE/>
        <w:autoSpaceDN/>
        <w:bidi w:val="0"/>
        <w:adjustRightInd/>
        <w:snapToGrid/>
        <w:spacing w:line="580" w:lineRule="exact"/>
        <w:ind w:right="50" w:rightChars="24" w:firstLine="562" w:firstLineChars="200"/>
        <w:jc w:val="both"/>
        <w:textAlignment w:val="auto"/>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rPr>
        <w:t>四、评估服务费</w:t>
      </w:r>
      <w:r>
        <w:rPr>
          <w:rFonts w:hint="eastAsia" w:asciiTheme="minorEastAsia" w:hAnsiTheme="minorEastAsia" w:eastAsiaTheme="minorEastAsia" w:cstheme="minorEastAsia"/>
          <w:b/>
          <w:color w:val="auto"/>
          <w:sz w:val="28"/>
          <w:szCs w:val="28"/>
          <w:highlight w:val="none"/>
          <w:lang w:val="en-US" w:eastAsia="zh-CN"/>
        </w:rPr>
        <w:t>及付款方式</w:t>
      </w:r>
    </w:p>
    <w:p w14:paraId="592FE984">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评估服务费用按《广西壮族自治区物价局 住房和城乡建设厅关于重新规范房地产中介服务收费管理有关问题的通知》（桂价费</w:t>
      </w:r>
      <w:r>
        <w:rPr>
          <w:rFonts w:hint="eastAsia" w:asciiTheme="minorEastAsia" w:hAnsiTheme="minorEastAsia" w:eastAsiaTheme="minorEastAsia" w:cstheme="minorEastAsia"/>
          <w:color w:val="auto"/>
          <w:sz w:val="28"/>
          <w:szCs w:val="28"/>
          <w:highlight w:val="none"/>
          <w:lang w:eastAsia="zh-CN"/>
        </w:rPr>
        <w:t>〔2013〕33号</w:t>
      </w:r>
      <w:r>
        <w:rPr>
          <w:rFonts w:hint="eastAsia" w:asciiTheme="minorEastAsia" w:hAnsiTheme="minorEastAsia" w:eastAsiaTheme="minorEastAsia" w:cstheme="minorEastAsia"/>
          <w:color w:val="auto"/>
          <w:sz w:val="28"/>
          <w:szCs w:val="28"/>
          <w:highlight w:val="none"/>
        </w:rPr>
        <w:t xml:space="preserve">）标准收费核算 </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以房产为主的房地产价格评估收费，按照房地产的价格总额采取差额定率分档累进计收</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费率</w:t>
      </w:r>
      <w:r>
        <w:rPr>
          <w:rFonts w:hint="eastAsia" w:asciiTheme="minorEastAsia" w:hAnsiTheme="minorEastAsia" w:eastAsiaTheme="minorEastAsia" w:cstheme="minorEastAsia"/>
          <w:color w:val="auto"/>
          <w:sz w:val="28"/>
          <w:szCs w:val="28"/>
          <w:highlight w:val="none"/>
        </w:rPr>
        <w:t>按下表执行：</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9"/>
        <w:gridCol w:w="4307"/>
        <w:gridCol w:w="2612"/>
      </w:tblGrid>
      <w:tr w14:paraId="26C7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859" w:type="dxa"/>
            <w:shd w:val="solid" w:color="FFFFFF" w:fill="auto"/>
            <w:noWrap w:val="0"/>
            <w:tcMar>
              <w:top w:w="0" w:type="dxa"/>
              <w:left w:w="108" w:type="dxa"/>
              <w:bottom w:w="0" w:type="dxa"/>
              <w:right w:w="108" w:type="dxa"/>
            </w:tcMar>
            <w:vAlign w:val="center"/>
          </w:tcPr>
          <w:p w14:paraId="68665F40">
            <w:pPr>
              <w:keepNext w:val="0"/>
              <w:keepLines/>
              <w:pageBreakBefore w:val="0"/>
              <w:widowControl w:val="0"/>
              <w:kinsoku/>
              <w:wordWrap/>
              <w:overflowPunct/>
              <w:topLinePunct w:val="0"/>
              <w:autoSpaceDE/>
              <w:autoSpaceDN/>
              <w:bidi w:val="0"/>
              <w:adjustRightInd/>
              <w:snapToGrid/>
              <w:spacing w:line="580" w:lineRule="exact"/>
              <w:ind w:right="50" w:rightChars="24"/>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档次</w:t>
            </w:r>
          </w:p>
        </w:tc>
        <w:tc>
          <w:tcPr>
            <w:tcW w:w="4307" w:type="dxa"/>
            <w:shd w:val="solid" w:color="FFFFFF" w:fill="auto"/>
            <w:noWrap w:val="0"/>
            <w:tcMar>
              <w:top w:w="0" w:type="dxa"/>
              <w:left w:w="108" w:type="dxa"/>
              <w:bottom w:w="0" w:type="dxa"/>
              <w:right w:w="108" w:type="dxa"/>
            </w:tcMar>
            <w:vAlign w:val="center"/>
          </w:tcPr>
          <w:p w14:paraId="0DF05C38">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房地产价格总额（万元）</w:t>
            </w:r>
          </w:p>
        </w:tc>
        <w:tc>
          <w:tcPr>
            <w:tcW w:w="2612" w:type="dxa"/>
            <w:shd w:val="solid" w:color="FFFFFF" w:fill="auto"/>
            <w:noWrap w:val="0"/>
            <w:tcMar>
              <w:top w:w="0" w:type="dxa"/>
              <w:left w:w="108" w:type="dxa"/>
              <w:bottom w:w="0" w:type="dxa"/>
              <w:right w:w="108" w:type="dxa"/>
            </w:tcMar>
            <w:vAlign w:val="center"/>
          </w:tcPr>
          <w:p w14:paraId="5250A040">
            <w:pPr>
              <w:keepNext w:val="0"/>
              <w:keepLines/>
              <w:pageBreakBefore w:val="0"/>
              <w:widowControl w:val="0"/>
              <w:kinsoku/>
              <w:wordWrap/>
              <w:overflowPunct/>
              <w:topLinePunct w:val="0"/>
              <w:autoSpaceDE/>
              <w:autoSpaceDN/>
              <w:bidi w:val="0"/>
              <w:adjustRightInd/>
              <w:snapToGrid/>
              <w:spacing w:line="580" w:lineRule="exact"/>
              <w:ind w:right="50" w:rightChars="24"/>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累进计费率（‰）</w:t>
            </w:r>
          </w:p>
        </w:tc>
      </w:tr>
      <w:tr w14:paraId="4C08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859" w:type="dxa"/>
            <w:shd w:val="solid" w:color="FFFFFF" w:fill="auto"/>
            <w:noWrap w:val="0"/>
            <w:tcMar>
              <w:top w:w="0" w:type="dxa"/>
              <w:left w:w="108" w:type="dxa"/>
              <w:bottom w:w="0" w:type="dxa"/>
              <w:right w:w="108" w:type="dxa"/>
            </w:tcMar>
            <w:vAlign w:val="center"/>
          </w:tcPr>
          <w:p w14:paraId="660C94C0">
            <w:pPr>
              <w:keepNext w:val="0"/>
              <w:keepLines/>
              <w:pageBreakBefore w:val="0"/>
              <w:widowControl w:val="0"/>
              <w:kinsoku/>
              <w:wordWrap/>
              <w:overflowPunct/>
              <w:topLinePunct w:val="0"/>
              <w:autoSpaceDE/>
              <w:autoSpaceDN/>
              <w:bidi w:val="0"/>
              <w:adjustRightInd/>
              <w:snapToGrid/>
              <w:spacing w:line="580" w:lineRule="exact"/>
              <w:ind w:right="50" w:rightChars="24"/>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１</w:t>
            </w:r>
          </w:p>
        </w:tc>
        <w:tc>
          <w:tcPr>
            <w:tcW w:w="4307" w:type="dxa"/>
            <w:shd w:val="solid" w:color="FFFFFF" w:fill="auto"/>
            <w:noWrap w:val="0"/>
            <w:tcMar>
              <w:top w:w="0" w:type="dxa"/>
              <w:left w:w="108" w:type="dxa"/>
              <w:bottom w:w="0" w:type="dxa"/>
              <w:right w:w="108" w:type="dxa"/>
            </w:tcMar>
            <w:vAlign w:val="center"/>
          </w:tcPr>
          <w:p w14:paraId="20E42A1B">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100以下（含100）</w:t>
            </w:r>
          </w:p>
        </w:tc>
        <w:tc>
          <w:tcPr>
            <w:tcW w:w="2612" w:type="dxa"/>
            <w:shd w:val="solid" w:color="FFFFFF" w:fill="auto"/>
            <w:noWrap w:val="0"/>
            <w:tcMar>
              <w:top w:w="0" w:type="dxa"/>
              <w:left w:w="108" w:type="dxa"/>
              <w:bottom w:w="0" w:type="dxa"/>
              <w:right w:w="108" w:type="dxa"/>
            </w:tcMar>
            <w:vAlign w:val="center"/>
          </w:tcPr>
          <w:p w14:paraId="57671EEA">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p>
        </w:tc>
      </w:tr>
      <w:tr w14:paraId="3B74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jc w:val="center"/>
        </w:trPr>
        <w:tc>
          <w:tcPr>
            <w:tcW w:w="859" w:type="dxa"/>
            <w:shd w:val="solid" w:color="FFFFFF" w:fill="auto"/>
            <w:noWrap w:val="0"/>
            <w:tcMar>
              <w:top w:w="0" w:type="dxa"/>
              <w:left w:w="108" w:type="dxa"/>
              <w:bottom w:w="0" w:type="dxa"/>
              <w:right w:w="108" w:type="dxa"/>
            </w:tcMar>
            <w:vAlign w:val="center"/>
          </w:tcPr>
          <w:p w14:paraId="1172DBA8">
            <w:pPr>
              <w:keepNext w:val="0"/>
              <w:keepLines/>
              <w:pageBreakBefore w:val="0"/>
              <w:widowControl w:val="0"/>
              <w:kinsoku/>
              <w:wordWrap/>
              <w:overflowPunct/>
              <w:topLinePunct w:val="0"/>
              <w:autoSpaceDE/>
              <w:autoSpaceDN/>
              <w:bidi w:val="0"/>
              <w:adjustRightInd/>
              <w:snapToGrid/>
              <w:spacing w:line="580" w:lineRule="exact"/>
              <w:ind w:right="50" w:rightChars="24"/>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２</w:t>
            </w:r>
          </w:p>
        </w:tc>
        <w:tc>
          <w:tcPr>
            <w:tcW w:w="4307" w:type="dxa"/>
            <w:shd w:val="solid" w:color="FFFFFF" w:fill="auto"/>
            <w:noWrap w:val="0"/>
            <w:tcMar>
              <w:top w:w="0" w:type="dxa"/>
              <w:left w:w="108" w:type="dxa"/>
              <w:bottom w:w="0" w:type="dxa"/>
              <w:right w:w="108" w:type="dxa"/>
            </w:tcMar>
            <w:vAlign w:val="center"/>
          </w:tcPr>
          <w:p w14:paraId="69350132">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101至1000</w:t>
            </w:r>
          </w:p>
        </w:tc>
        <w:tc>
          <w:tcPr>
            <w:tcW w:w="2612" w:type="dxa"/>
            <w:shd w:val="solid" w:color="FFFFFF" w:fill="auto"/>
            <w:noWrap w:val="0"/>
            <w:tcMar>
              <w:top w:w="0" w:type="dxa"/>
              <w:left w:w="108" w:type="dxa"/>
              <w:bottom w:w="0" w:type="dxa"/>
              <w:right w:w="108" w:type="dxa"/>
            </w:tcMar>
            <w:vAlign w:val="center"/>
          </w:tcPr>
          <w:p w14:paraId="0E0FB64E">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2.5</w:t>
            </w:r>
          </w:p>
        </w:tc>
      </w:tr>
      <w:tr w14:paraId="5B03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jc w:val="center"/>
        </w:trPr>
        <w:tc>
          <w:tcPr>
            <w:tcW w:w="859" w:type="dxa"/>
            <w:shd w:val="solid" w:color="FFFFFF" w:fill="auto"/>
            <w:noWrap w:val="0"/>
            <w:tcMar>
              <w:top w:w="0" w:type="dxa"/>
              <w:left w:w="108" w:type="dxa"/>
              <w:bottom w:w="0" w:type="dxa"/>
              <w:right w:w="108" w:type="dxa"/>
            </w:tcMar>
            <w:vAlign w:val="center"/>
          </w:tcPr>
          <w:p w14:paraId="31C8986D">
            <w:pPr>
              <w:keepNext w:val="0"/>
              <w:keepLines/>
              <w:pageBreakBefore w:val="0"/>
              <w:widowControl w:val="0"/>
              <w:kinsoku/>
              <w:wordWrap/>
              <w:overflowPunct/>
              <w:topLinePunct w:val="0"/>
              <w:autoSpaceDE/>
              <w:autoSpaceDN/>
              <w:bidi w:val="0"/>
              <w:adjustRightInd/>
              <w:snapToGrid/>
              <w:spacing w:line="580" w:lineRule="exact"/>
              <w:ind w:right="50" w:rightChars="24"/>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３</w:t>
            </w:r>
          </w:p>
        </w:tc>
        <w:tc>
          <w:tcPr>
            <w:tcW w:w="4307" w:type="dxa"/>
            <w:shd w:val="solid" w:color="FFFFFF" w:fill="auto"/>
            <w:noWrap w:val="0"/>
            <w:tcMar>
              <w:top w:w="0" w:type="dxa"/>
              <w:left w:w="108" w:type="dxa"/>
              <w:bottom w:w="0" w:type="dxa"/>
              <w:right w:w="108" w:type="dxa"/>
            </w:tcMar>
            <w:vAlign w:val="center"/>
          </w:tcPr>
          <w:p w14:paraId="5A324AC9">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1001至2000</w:t>
            </w:r>
          </w:p>
        </w:tc>
        <w:tc>
          <w:tcPr>
            <w:tcW w:w="2612" w:type="dxa"/>
            <w:shd w:val="solid" w:color="FFFFFF" w:fill="auto"/>
            <w:noWrap w:val="0"/>
            <w:tcMar>
              <w:top w:w="0" w:type="dxa"/>
              <w:left w:w="108" w:type="dxa"/>
              <w:bottom w:w="0" w:type="dxa"/>
              <w:right w:w="108" w:type="dxa"/>
            </w:tcMar>
            <w:vAlign w:val="center"/>
          </w:tcPr>
          <w:p w14:paraId="26B38500">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1.5</w:t>
            </w:r>
          </w:p>
        </w:tc>
      </w:tr>
      <w:tr w14:paraId="54A6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jc w:val="center"/>
        </w:trPr>
        <w:tc>
          <w:tcPr>
            <w:tcW w:w="859" w:type="dxa"/>
            <w:shd w:val="solid" w:color="FFFFFF" w:fill="auto"/>
            <w:noWrap w:val="0"/>
            <w:tcMar>
              <w:top w:w="0" w:type="dxa"/>
              <w:left w:w="108" w:type="dxa"/>
              <w:bottom w:w="0" w:type="dxa"/>
              <w:right w:w="108" w:type="dxa"/>
            </w:tcMar>
            <w:vAlign w:val="center"/>
          </w:tcPr>
          <w:p w14:paraId="50E45C57">
            <w:pPr>
              <w:keepNext w:val="0"/>
              <w:keepLines/>
              <w:pageBreakBefore w:val="0"/>
              <w:widowControl w:val="0"/>
              <w:kinsoku/>
              <w:wordWrap/>
              <w:overflowPunct/>
              <w:topLinePunct w:val="0"/>
              <w:autoSpaceDE/>
              <w:autoSpaceDN/>
              <w:bidi w:val="0"/>
              <w:adjustRightInd/>
              <w:snapToGrid/>
              <w:spacing w:line="580" w:lineRule="exact"/>
              <w:ind w:right="50" w:rightChars="24"/>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４</w:t>
            </w:r>
          </w:p>
        </w:tc>
        <w:tc>
          <w:tcPr>
            <w:tcW w:w="4307" w:type="dxa"/>
            <w:shd w:val="solid" w:color="FFFFFF" w:fill="auto"/>
            <w:noWrap w:val="0"/>
            <w:tcMar>
              <w:top w:w="0" w:type="dxa"/>
              <w:left w:w="108" w:type="dxa"/>
              <w:bottom w:w="0" w:type="dxa"/>
              <w:right w:w="108" w:type="dxa"/>
            </w:tcMar>
            <w:vAlign w:val="center"/>
          </w:tcPr>
          <w:p w14:paraId="17A3F30B">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2001至5000</w:t>
            </w:r>
          </w:p>
        </w:tc>
        <w:tc>
          <w:tcPr>
            <w:tcW w:w="2612" w:type="dxa"/>
            <w:shd w:val="solid" w:color="FFFFFF" w:fill="auto"/>
            <w:noWrap w:val="0"/>
            <w:tcMar>
              <w:top w:w="0" w:type="dxa"/>
              <w:left w:w="108" w:type="dxa"/>
              <w:bottom w:w="0" w:type="dxa"/>
              <w:right w:w="108" w:type="dxa"/>
            </w:tcMar>
            <w:vAlign w:val="center"/>
          </w:tcPr>
          <w:p w14:paraId="31E6C28D">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0.8</w:t>
            </w:r>
          </w:p>
        </w:tc>
      </w:tr>
      <w:tr w14:paraId="3A80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jc w:val="center"/>
        </w:trPr>
        <w:tc>
          <w:tcPr>
            <w:tcW w:w="859" w:type="dxa"/>
            <w:shd w:val="solid" w:color="FFFFFF" w:fill="auto"/>
            <w:noWrap w:val="0"/>
            <w:tcMar>
              <w:top w:w="0" w:type="dxa"/>
              <w:left w:w="108" w:type="dxa"/>
              <w:bottom w:w="0" w:type="dxa"/>
              <w:right w:w="108" w:type="dxa"/>
            </w:tcMar>
            <w:vAlign w:val="center"/>
          </w:tcPr>
          <w:p w14:paraId="61B8D8ED">
            <w:pPr>
              <w:keepNext w:val="0"/>
              <w:keepLines/>
              <w:pageBreakBefore w:val="0"/>
              <w:widowControl w:val="0"/>
              <w:kinsoku/>
              <w:wordWrap/>
              <w:overflowPunct/>
              <w:topLinePunct w:val="0"/>
              <w:autoSpaceDE/>
              <w:autoSpaceDN/>
              <w:bidi w:val="0"/>
              <w:adjustRightInd/>
              <w:snapToGrid/>
              <w:spacing w:line="580" w:lineRule="exact"/>
              <w:ind w:right="50" w:rightChars="24"/>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５</w:t>
            </w:r>
          </w:p>
        </w:tc>
        <w:tc>
          <w:tcPr>
            <w:tcW w:w="4307" w:type="dxa"/>
            <w:shd w:val="solid" w:color="FFFFFF" w:fill="auto"/>
            <w:noWrap w:val="0"/>
            <w:tcMar>
              <w:top w:w="0" w:type="dxa"/>
              <w:left w:w="108" w:type="dxa"/>
              <w:bottom w:w="0" w:type="dxa"/>
              <w:right w:w="108" w:type="dxa"/>
            </w:tcMar>
            <w:vAlign w:val="center"/>
          </w:tcPr>
          <w:p w14:paraId="40188A28">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5001至8000</w:t>
            </w:r>
          </w:p>
        </w:tc>
        <w:tc>
          <w:tcPr>
            <w:tcW w:w="2612" w:type="dxa"/>
            <w:shd w:val="solid" w:color="FFFFFF" w:fill="auto"/>
            <w:noWrap w:val="0"/>
            <w:tcMar>
              <w:top w:w="0" w:type="dxa"/>
              <w:left w:w="108" w:type="dxa"/>
              <w:bottom w:w="0" w:type="dxa"/>
              <w:right w:w="108" w:type="dxa"/>
            </w:tcMar>
            <w:vAlign w:val="center"/>
          </w:tcPr>
          <w:p w14:paraId="0DDBF016">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0.4</w:t>
            </w:r>
          </w:p>
        </w:tc>
      </w:tr>
      <w:tr w14:paraId="062F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9" w:type="dxa"/>
            <w:shd w:val="solid" w:color="FFFFFF" w:fill="auto"/>
            <w:noWrap w:val="0"/>
            <w:tcMar>
              <w:top w:w="0" w:type="dxa"/>
              <w:left w:w="108" w:type="dxa"/>
              <w:bottom w:w="0" w:type="dxa"/>
              <w:right w:w="108" w:type="dxa"/>
            </w:tcMar>
            <w:vAlign w:val="center"/>
          </w:tcPr>
          <w:p w14:paraId="7986CDE9">
            <w:pPr>
              <w:keepNext w:val="0"/>
              <w:keepLines/>
              <w:pageBreakBefore w:val="0"/>
              <w:widowControl w:val="0"/>
              <w:kinsoku/>
              <w:wordWrap/>
              <w:overflowPunct/>
              <w:topLinePunct w:val="0"/>
              <w:autoSpaceDE/>
              <w:autoSpaceDN/>
              <w:bidi w:val="0"/>
              <w:adjustRightInd/>
              <w:snapToGrid/>
              <w:spacing w:line="580" w:lineRule="exact"/>
              <w:ind w:right="50" w:rightChars="24"/>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６</w:t>
            </w:r>
          </w:p>
        </w:tc>
        <w:tc>
          <w:tcPr>
            <w:tcW w:w="4307" w:type="dxa"/>
            <w:shd w:val="solid" w:color="FFFFFF" w:fill="auto"/>
            <w:noWrap w:val="0"/>
            <w:tcMar>
              <w:top w:w="0" w:type="dxa"/>
              <w:left w:w="108" w:type="dxa"/>
              <w:bottom w:w="0" w:type="dxa"/>
              <w:right w:w="108" w:type="dxa"/>
            </w:tcMar>
            <w:vAlign w:val="center"/>
          </w:tcPr>
          <w:p w14:paraId="33DFC611">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8001至10000</w:t>
            </w:r>
          </w:p>
        </w:tc>
        <w:tc>
          <w:tcPr>
            <w:tcW w:w="2612" w:type="dxa"/>
            <w:shd w:val="solid" w:color="FFFFFF" w:fill="auto"/>
            <w:noWrap w:val="0"/>
            <w:tcMar>
              <w:top w:w="0" w:type="dxa"/>
              <w:left w:w="108" w:type="dxa"/>
              <w:bottom w:w="0" w:type="dxa"/>
              <w:right w:w="108" w:type="dxa"/>
            </w:tcMar>
            <w:vAlign w:val="center"/>
          </w:tcPr>
          <w:p w14:paraId="7F478F46">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0.2</w:t>
            </w:r>
          </w:p>
        </w:tc>
      </w:tr>
      <w:tr w14:paraId="75E5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59" w:type="dxa"/>
            <w:shd w:val="solid" w:color="FFFFFF" w:fill="auto"/>
            <w:noWrap w:val="0"/>
            <w:tcMar>
              <w:top w:w="0" w:type="dxa"/>
              <w:left w:w="108" w:type="dxa"/>
              <w:bottom w:w="0" w:type="dxa"/>
              <w:right w:w="108" w:type="dxa"/>
            </w:tcMar>
            <w:vAlign w:val="center"/>
          </w:tcPr>
          <w:p w14:paraId="27114C8B">
            <w:pPr>
              <w:keepNext w:val="0"/>
              <w:keepLines/>
              <w:pageBreakBefore w:val="0"/>
              <w:widowControl w:val="0"/>
              <w:kinsoku/>
              <w:wordWrap/>
              <w:overflowPunct/>
              <w:topLinePunct w:val="0"/>
              <w:autoSpaceDE/>
              <w:autoSpaceDN/>
              <w:bidi w:val="0"/>
              <w:adjustRightInd/>
              <w:snapToGrid/>
              <w:spacing w:line="580" w:lineRule="exact"/>
              <w:ind w:right="50" w:rightChars="24"/>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７</w:t>
            </w:r>
          </w:p>
        </w:tc>
        <w:tc>
          <w:tcPr>
            <w:tcW w:w="4307" w:type="dxa"/>
            <w:shd w:val="solid" w:color="FFFFFF" w:fill="auto"/>
            <w:noWrap w:val="0"/>
            <w:tcMar>
              <w:top w:w="0" w:type="dxa"/>
              <w:left w:w="108" w:type="dxa"/>
              <w:bottom w:w="0" w:type="dxa"/>
              <w:right w:w="108" w:type="dxa"/>
            </w:tcMar>
            <w:vAlign w:val="center"/>
          </w:tcPr>
          <w:p w14:paraId="0257E907">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10001以上</w:t>
            </w:r>
          </w:p>
        </w:tc>
        <w:tc>
          <w:tcPr>
            <w:tcW w:w="2612" w:type="dxa"/>
            <w:shd w:val="solid" w:color="FFFFFF" w:fill="auto"/>
            <w:noWrap w:val="0"/>
            <w:tcMar>
              <w:top w:w="0" w:type="dxa"/>
              <w:left w:w="108" w:type="dxa"/>
              <w:bottom w:w="0" w:type="dxa"/>
              <w:right w:w="108" w:type="dxa"/>
            </w:tcMar>
            <w:vAlign w:val="center"/>
          </w:tcPr>
          <w:p w14:paraId="72225A9E">
            <w:pPr>
              <w:keepNext w:val="0"/>
              <w:keepLines/>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0.1</w:t>
            </w:r>
          </w:p>
        </w:tc>
      </w:tr>
    </w:tbl>
    <w:p w14:paraId="5C9D7B7C">
      <w:pPr>
        <w:keepNext w:val="0"/>
        <w:keepLines w:val="0"/>
        <w:pageBreakBefore w:val="0"/>
        <w:widowControl w:val="0"/>
        <w:kinsoku/>
        <w:wordWrap/>
        <w:overflowPunct/>
        <w:topLinePunct w:val="0"/>
        <w:autoSpaceDE/>
        <w:autoSpaceDN/>
        <w:bidi w:val="0"/>
        <w:adjustRightInd/>
        <w:snapToGrid/>
        <w:spacing w:line="580" w:lineRule="exact"/>
        <w:ind w:firstLine="548" w:firstLineChars="196"/>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u w:val="none"/>
          <w:lang w:val="en-US" w:eastAsia="zh-CN"/>
        </w:rPr>
        <w:t>最终支付的评估服务费以本次评估标的的总价值为计费基数×评估服务费率</w:t>
      </w:r>
      <w:r>
        <w:rPr>
          <w:rFonts w:hint="eastAsia" w:asciiTheme="minorEastAsia" w:hAnsiTheme="minorEastAsia" w:eastAsiaTheme="minorEastAsia" w:cstheme="minorEastAsia"/>
          <w:color w:val="auto"/>
          <w:sz w:val="28"/>
          <w:szCs w:val="28"/>
          <w:highlight w:val="none"/>
          <w:lang w:val="en-US" w:eastAsia="zh-CN"/>
        </w:rPr>
        <w:t>×(1-中标下浮系数)计取</w:t>
      </w:r>
      <w:r>
        <w:rPr>
          <w:rFonts w:hint="eastAsia" w:asciiTheme="minorEastAsia" w:hAnsiTheme="minorEastAsia" w:eastAsiaTheme="minorEastAsia" w:cstheme="minorEastAsia"/>
          <w:color w:val="auto"/>
          <w:sz w:val="28"/>
          <w:szCs w:val="28"/>
          <w:highlight w:val="none"/>
          <w:u w:val="none"/>
          <w:lang w:val="en-US" w:eastAsia="zh-CN"/>
        </w:rPr>
        <w:t>，如最终计算的服务费超出</w:t>
      </w:r>
      <w:r>
        <w:rPr>
          <w:rFonts w:hint="eastAsia" w:asciiTheme="minorEastAsia" w:hAnsiTheme="minorEastAsia" w:eastAsiaTheme="minorEastAsia" w:cstheme="minorEastAsia"/>
          <w:color w:val="auto"/>
          <w:sz w:val="28"/>
          <w:szCs w:val="28"/>
          <w:highlight w:val="none"/>
          <w:lang w:val="en-US" w:eastAsia="zh-CN"/>
        </w:rPr>
        <w:t>7.5万元(含税)的，按7.5万元（含税）支付，少于7.5万元（含税）按实际计算支付。</w:t>
      </w:r>
    </w:p>
    <w:p w14:paraId="1BDAB1A0">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2.以上费用包含但不限于技术工作费、人工费、材料费、差旅费、管理费、设备、劳务、邮寄费、维护、保险、利润及税金、管理政策性规定费用等。</w:t>
      </w:r>
    </w:p>
    <w:p w14:paraId="1BFA182D">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支付方式：乙方在规定的时间节点内完成本项目的所有评估工作，并出具完整性、真实性、合法性的评估报告，评估报告经甲方审核无误后，一次付清评估服务费。款项支付前，乙方应按照甲方的要求提供有效等额的增值税专用发票（注：小规模纳税人税率为3%，一般纳税人税率为 6%)、请款函等材料，甲方确认无误后，15个工作日内完成支付。</w:t>
      </w:r>
    </w:p>
    <w:p w14:paraId="18D61389">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4.乙方指定收款账号信息如下：</w:t>
      </w:r>
    </w:p>
    <w:p w14:paraId="16F1F9C7">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lang w:val="en-US" w:eastAsia="zh-CN"/>
        </w:rPr>
        <w:t>开户名：</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 xml:space="preserve">            </w:t>
      </w:r>
    </w:p>
    <w:p w14:paraId="65FDABE5">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lang w:val="en-US" w:eastAsia="zh-CN"/>
        </w:rPr>
        <w:t>开户行：</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 xml:space="preserve">            </w:t>
      </w:r>
    </w:p>
    <w:p w14:paraId="620B58B6">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lang w:val="en-US" w:eastAsia="zh-CN"/>
        </w:rPr>
        <w:t>账  号：</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603E5645">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line="580" w:lineRule="exact"/>
        <w:ind w:right="50" w:rightChars="24" w:firstLine="562"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评估报告交付</w:t>
      </w:r>
      <w:r>
        <w:rPr>
          <w:rFonts w:hint="eastAsia" w:asciiTheme="minorEastAsia" w:hAnsiTheme="minorEastAsia" w:eastAsiaTheme="minorEastAsia" w:cstheme="minorEastAsia"/>
          <w:color w:val="auto"/>
          <w:sz w:val="28"/>
          <w:szCs w:val="28"/>
          <w:highlight w:val="none"/>
          <w:lang w:val="en-US" w:eastAsia="zh-CN"/>
        </w:rPr>
        <w:t xml:space="preserve"> </w:t>
      </w:r>
    </w:p>
    <w:p w14:paraId="3A88D2B3">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1.报告交付时间形式：</w:t>
      </w:r>
      <w:r>
        <w:rPr>
          <w:rFonts w:hint="eastAsia" w:asciiTheme="minorEastAsia" w:hAnsiTheme="minorEastAsia" w:eastAsiaTheme="minorEastAsia" w:cstheme="minorEastAsia"/>
          <w:color w:val="auto"/>
          <w:sz w:val="28"/>
          <w:szCs w:val="28"/>
          <w:highlight w:val="none"/>
          <w:lang w:val="en-US" w:eastAsia="zh-CN"/>
        </w:rPr>
        <w:sym w:font="Wingdings" w:char="00FE"/>
      </w:r>
      <w:r>
        <w:rPr>
          <w:rFonts w:hint="eastAsia" w:asciiTheme="minorEastAsia" w:hAnsiTheme="minorEastAsia" w:eastAsiaTheme="minorEastAsia" w:cstheme="minorEastAsia"/>
          <w:color w:val="auto"/>
          <w:sz w:val="28"/>
          <w:szCs w:val="28"/>
          <w:highlight w:val="none"/>
          <w:lang w:val="en-US" w:eastAsia="zh-CN"/>
        </w:rPr>
        <w:t>纸质报告4份；</w:t>
      </w:r>
      <w:r>
        <w:rPr>
          <w:rFonts w:hint="eastAsia" w:asciiTheme="minorEastAsia" w:hAnsiTheme="minorEastAsia" w:eastAsiaTheme="minorEastAsia" w:cstheme="minorEastAsia"/>
          <w:color w:val="auto"/>
          <w:sz w:val="28"/>
          <w:szCs w:val="28"/>
          <w:highlight w:val="none"/>
          <w:lang w:val="en-US" w:eastAsia="zh-CN"/>
        </w:rPr>
        <w:sym w:font="Wingdings" w:char="00FE"/>
      </w:r>
      <w:r>
        <w:rPr>
          <w:rFonts w:hint="eastAsia" w:asciiTheme="minorEastAsia" w:hAnsiTheme="minorEastAsia" w:eastAsiaTheme="minorEastAsia" w:cstheme="minorEastAsia"/>
          <w:color w:val="auto"/>
          <w:sz w:val="28"/>
          <w:szCs w:val="28"/>
          <w:highlight w:val="none"/>
          <w:lang w:val="en-US" w:eastAsia="zh-CN"/>
        </w:rPr>
        <w:t>电子版报告1份。</w:t>
      </w:r>
    </w:p>
    <w:p w14:paraId="17238AF8">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2.交付时间：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日前。</w:t>
      </w:r>
    </w:p>
    <w:p w14:paraId="6A8A38E9">
      <w:pPr>
        <w:pStyle w:val="2"/>
        <w:keepNext w:val="0"/>
        <w:keepLines w:val="0"/>
        <w:pageBreakBefore w:val="0"/>
        <w:widowControl w:val="0"/>
        <w:kinsoku/>
        <w:wordWrap/>
        <w:overflowPunct/>
        <w:topLinePunct w:val="0"/>
        <w:autoSpaceDE/>
        <w:autoSpaceDN/>
        <w:bidi w:val="0"/>
        <w:adjustRightInd/>
        <w:spacing w:line="5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3.报告有效期：自出具之日起12个月。</w:t>
      </w:r>
    </w:p>
    <w:p w14:paraId="05AF9F5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50" w:rightChars="24" w:firstLine="562"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color w:val="auto"/>
          <w:sz w:val="28"/>
          <w:szCs w:val="28"/>
          <w:highlight w:val="none"/>
        </w:rPr>
        <w:t>违约责任</w:t>
      </w:r>
    </w:p>
    <w:p w14:paraId="5F540094">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1.甲方</w:t>
      </w:r>
      <w:r>
        <w:rPr>
          <w:rFonts w:hint="eastAsia" w:asciiTheme="minorEastAsia" w:hAnsiTheme="minorEastAsia" w:eastAsiaTheme="minorEastAsia" w:cstheme="minorEastAsia"/>
          <w:color w:val="auto"/>
          <w:sz w:val="28"/>
          <w:szCs w:val="28"/>
          <w:highlight w:val="none"/>
          <w:lang w:val="en-US" w:eastAsia="zh-CN"/>
        </w:rPr>
        <w:t>逾期提供房产评估所需资料</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乙方</w:t>
      </w:r>
      <w:r>
        <w:rPr>
          <w:rFonts w:hint="eastAsia" w:asciiTheme="minorEastAsia" w:hAnsiTheme="minorEastAsia" w:eastAsiaTheme="minorEastAsia" w:cstheme="minorEastAsia"/>
          <w:color w:val="auto"/>
          <w:sz w:val="28"/>
          <w:szCs w:val="28"/>
          <w:highlight w:val="none"/>
          <w:lang w:val="en-US" w:eastAsia="zh-CN"/>
        </w:rPr>
        <w:t>可相应顺延提交报告时间。</w:t>
      </w:r>
    </w:p>
    <w:p w14:paraId="6174F428">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2.甲方应按本合同约定期限支付评估服务费，每逾期一日，甲方按应付而未付金额的1%计算违约金，违约金支付上限为合同金额的2%。</w:t>
      </w:r>
    </w:p>
    <w:p w14:paraId="334654D5">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3.乙方截止日期后逾期提交报告成果文件，每逾期一日，需向甲方支付合同金额1‰违约金。但逾期超过10个工作日的，甲方有权解除合同并无须向乙方支付任何款项.</w:t>
      </w:r>
    </w:p>
    <w:p w14:paraId="0B2B5C20">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乙方出具评估报告不真实（故意低估或高估）存在违规操作、弄虚作假等导致评估结果失效，属于违约，甲方有权直接解除合同，并由乙方向甲方支付评估服务费的20%作为违约金，同时，因维权产生律师费、诉讼费、保全费等均由乙方承担。</w:t>
      </w:r>
    </w:p>
    <w:p w14:paraId="6AFFDCB9">
      <w:pPr>
        <w:pStyle w:val="2"/>
        <w:keepNext w:val="0"/>
        <w:keepLines w:val="0"/>
        <w:pageBreakBefore w:val="0"/>
        <w:widowControl w:val="0"/>
        <w:kinsoku/>
        <w:wordWrap/>
        <w:overflowPunct/>
        <w:topLinePunct w:val="0"/>
        <w:autoSpaceDE/>
        <w:autoSpaceDN/>
        <w:bidi w:val="0"/>
        <w:adjustRightInd/>
        <w:spacing w:line="580" w:lineRule="exact"/>
        <w:ind w:firstLine="56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5.由于不可预见的情况，影响约定业务的如期完成，乙方需提前书面报告甲方，双方可协商变更约定事项。</w:t>
      </w:r>
    </w:p>
    <w:p w14:paraId="605E9553">
      <w:pPr>
        <w:pStyle w:val="2"/>
        <w:keepNext w:val="0"/>
        <w:keepLines w:val="0"/>
        <w:pageBreakBefore w:val="0"/>
        <w:widowControl w:val="0"/>
        <w:kinsoku/>
        <w:wordWrap/>
        <w:overflowPunct/>
        <w:topLinePunct w:val="0"/>
        <w:autoSpaceDE/>
        <w:autoSpaceDN/>
        <w:bidi w:val="0"/>
        <w:adjustRightInd/>
        <w:spacing w:line="580" w:lineRule="exact"/>
        <w:ind w:firstLine="56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6.甲乙双方因不可抗力无法履行合同的，根据不可抗力的影响，部分或者全部免除责任，法律法规另由规定的除外。</w:t>
      </w:r>
    </w:p>
    <w:p w14:paraId="2D33EAAB">
      <w:pPr>
        <w:keepNext w:val="0"/>
        <w:keepLines w:val="0"/>
        <w:pageBreakBefore w:val="0"/>
        <w:widowControl w:val="0"/>
        <w:kinsoku/>
        <w:wordWrap/>
        <w:overflowPunct/>
        <w:topLinePunct w:val="0"/>
        <w:autoSpaceDE/>
        <w:autoSpaceDN/>
        <w:bidi w:val="0"/>
        <w:adjustRightInd/>
        <w:snapToGrid/>
        <w:spacing w:line="580" w:lineRule="exact"/>
        <w:ind w:right="50" w:rightChars="24" w:firstLine="562" w:firstLineChars="200"/>
        <w:jc w:val="both"/>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七</w:t>
      </w:r>
      <w:r>
        <w:rPr>
          <w:rFonts w:hint="eastAsia" w:asciiTheme="minorEastAsia" w:hAnsiTheme="minorEastAsia" w:eastAsiaTheme="minorEastAsia" w:cstheme="minorEastAsia"/>
          <w:b/>
          <w:color w:val="auto"/>
          <w:sz w:val="28"/>
          <w:szCs w:val="28"/>
          <w:highlight w:val="none"/>
        </w:rPr>
        <w:t>、合同争议解决方式</w:t>
      </w:r>
    </w:p>
    <w:p w14:paraId="5FAA4516">
      <w:pPr>
        <w:keepNext w:val="0"/>
        <w:keepLines w:val="0"/>
        <w:pageBreakBefore w:val="0"/>
        <w:widowControl w:val="0"/>
        <w:kinsoku/>
        <w:wordWrap/>
        <w:overflowPunct/>
        <w:topLinePunct w:val="0"/>
        <w:autoSpaceDE/>
        <w:autoSpaceDN/>
        <w:bidi w:val="0"/>
        <w:adjustRightInd/>
        <w:snapToGrid/>
        <w:spacing w:line="580" w:lineRule="exact"/>
        <w:ind w:right="50" w:rightChars="24" w:firstLine="840" w:firstLineChars="300"/>
        <w:jc w:val="both"/>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履行本合同中发生的争议，应首先通过协商或调解解决；协商或调解不成，当事人任何一方均可向</w:t>
      </w:r>
      <w:r>
        <w:rPr>
          <w:rFonts w:hint="eastAsia" w:asciiTheme="minorEastAsia" w:hAnsiTheme="minorEastAsia" w:eastAsiaTheme="minorEastAsia" w:cstheme="minorEastAsia"/>
          <w:color w:val="auto"/>
          <w:sz w:val="28"/>
          <w:szCs w:val="28"/>
          <w:highlight w:val="none"/>
          <w:lang w:val="en-US" w:eastAsia="zh-CN"/>
        </w:rPr>
        <w:t>甲方所在地人民法院</w:t>
      </w:r>
      <w:r>
        <w:rPr>
          <w:rFonts w:hint="eastAsia" w:asciiTheme="minorEastAsia" w:hAnsiTheme="minorEastAsia" w:eastAsiaTheme="minorEastAsia" w:cstheme="minorEastAsia"/>
          <w:color w:val="auto"/>
          <w:sz w:val="28"/>
          <w:szCs w:val="28"/>
          <w:highlight w:val="none"/>
        </w:rPr>
        <w:t>提起诉讼。</w:t>
      </w:r>
    </w:p>
    <w:p w14:paraId="56B45B0D">
      <w:pPr>
        <w:keepNext w:val="0"/>
        <w:keepLines w:val="0"/>
        <w:pageBreakBefore w:val="0"/>
        <w:widowControl w:val="0"/>
        <w:kinsoku/>
        <w:wordWrap/>
        <w:overflowPunct/>
        <w:topLinePunct w:val="0"/>
        <w:autoSpaceDE/>
        <w:autoSpaceDN/>
        <w:bidi w:val="0"/>
        <w:adjustRightInd/>
        <w:snapToGrid/>
        <w:spacing w:line="580" w:lineRule="exact"/>
        <w:ind w:right="50" w:rightChars="24" w:firstLine="562" w:firstLineChars="200"/>
        <w:jc w:val="both"/>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八</w:t>
      </w:r>
      <w:r>
        <w:rPr>
          <w:rFonts w:hint="eastAsia" w:asciiTheme="minorEastAsia" w:hAnsiTheme="minorEastAsia" w:eastAsiaTheme="minorEastAsia" w:cstheme="minorEastAsia"/>
          <w:b/>
          <w:color w:val="auto"/>
          <w:sz w:val="28"/>
          <w:szCs w:val="28"/>
          <w:highlight w:val="none"/>
        </w:rPr>
        <w:t>、合同的生效</w:t>
      </w:r>
    </w:p>
    <w:p w14:paraId="0FF91187">
      <w:pPr>
        <w:keepNext w:val="0"/>
        <w:keepLines w:val="0"/>
        <w:pageBreakBefore w:val="0"/>
        <w:widowControl w:val="0"/>
        <w:kinsoku/>
        <w:wordWrap/>
        <w:overflowPunct/>
        <w:topLinePunct w:val="0"/>
        <w:autoSpaceDE/>
        <w:autoSpaceDN/>
        <w:bidi w:val="0"/>
        <w:adjustRightInd/>
        <w:snapToGrid/>
        <w:spacing w:line="580" w:lineRule="exact"/>
        <w:ind w:right="50" w:rightChars="24" w:firstLine="560" w:firstLineChars="20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本合同壹式</w:t>
      </w:r>
      <w:r>
        <w:rPr>
          <w:rFonts w:hint="eastAsia" w:asciiTheme="minorEastAsia" w:hAnsiTheme="minorEastAsia" w:eastAsiaTheme="minorEastAsia" w:cstheme="minorEastAsia"/>
          <w:b w:val="0"/>
          <w:bCs/>
          <w:color w:val="auto"/>
          <w:sz w:val="28"/>
          <w:szCs w:val="28"/>
          <w:highlight w:val="none"/>
          <w:u w:val="single"/>
          <w:lang w:val="en-US" w:eastAsia="zh-CN"/>
        </w:rPr>
        <w:t>肆</w:t>
      </w:r>
      <w:r>
        <w:rPr>
          <w:rFonts w:hint="eastAsia" w:asciiTheme="minorEastAsia" w:hAnsiTheme="minorEastAsia" w:eastAsiaTheme="minorEastAsia" w:cstheme="minorEastAsia"/>
          <w:color w:val="auto"/>
          <w:sz w:val="28"/>
          <w:szCs w:val="28"/>
          <w:highlight w:val="none"/>
        </w:rPr>
        <w:t>份，甲</w:t>
      </w:r>
      <w:r>
        <w:rPr>
          <w:rFonts w:hint="eastAsia" w:asciiTheme="minorEastAsia" w:hAnsiTheme="minorEastAsia" w:eastAsiaTheme="minorEastAsia" w:cstheme="minorEastAsia"/>
          <w:color w:val="auto"/>
          <w:sz w:val="28"/>
          <w:szCs w:val="28"/>
          <w:highlight w:val="none"/>
          <w:lang w:val="en-US" w:eastAsia="zh-CN"/>
        </w:rPr>
        <w:t>方</w:t>
      </w:r>
      <w:r>
        <w:rPr>
          <w:rFonts w:hint="eastAsia" w:asciiTheme="minorEastAsia" w:hAnsiTheme="minorEastAsia" w:eastAsiaTheme="minorEastAsia" w:cstheme="minorEastAsia"/>
          <w:color w:val="auto"/>
          <w:sz w:val="28"/>
          <w:szCs w:val="28"/>
          <w:highlight w:val="none"/>
        </w:rPr>
        <w:t>执</w:t>
      </w:r>
      <w:r>
        <w:rPr>
          <w:rFonts w:hint="eastAsia" w:asciiTheme="minorEastAsia" w:hAnsiTheme="minorEastAsia" w:eastAsiaTheme="minorEastAsia" w:cstheme="minorEastAsia"/>
          <w:b w:val="0"/>
          <w:bCs/>
          <w:color w:val="auto"/>
          <w:sz w:val="28"/>
          <w:szCs w:val="28"/>
          <w:highlight w:val="none"/>
          <w:u w:val="single"/>
          <w:lang w:val="en-US" w:eastAsia="zh-CN"/>
        </w:rPr>
        <w:t>叁</w:t>
      </w:r>
      <w:r>
        <w:rPr>
          <w:rFonts w:hint="eastAsia" w:asciiTheme="minorEastAsia" w:hAnsiTheme="minorEastAsia" w:eastAsiaTheme="minorEastAsia" w:cstheme="minorEastAsia"/>
          <w:color w:val="auto"/>
          <w:sz w:val="28"/>
          <w:szCs w:val="28"/>
          <w:highlight w:val="none"/>
        </w:rPr>
        <w:t>份、乙</w:t>
      </w:r>
      <w:r>
        <w:rPr>
          <w:rFonts w:hint="eastAsia" w:asciiTheme="minorEastAsia" w:hAnsiTheme="minorEastAsia" w:eastAsiaTheme="minorEastAsia" w:cstheme="minorEastAsia"/>
          <w:color w:val="auto"/>
          <w:sz w:val="28"/>
          <w:szCs w:val="28"/>
          <w:highlight w:val="none"/>
          <w:lang w:val="en-US" w:eastAsia="zh-CN"/>
        </w:rPr>
        <w:t>方</w:t>
      </w:r>
      <w:r>
        <w:rPr>
          <w:rFonts w:hint="eastAsia" w:asciiTheme="minorEastAsia" w:hAnsiTheme="minorEastAsia" w:eastAsiaTheme="minorEastAsia" w:cstheme="minorEastAsia"/>
          <w:color w:val="auto"/>
          <w:sz w:val="28"/>
          <w:szCs w:val="28"/>
          <w:highlight w:val="none"/>
        </w:rPr>
        <w:t>执</w:t>
      </w:r>
      <w:r>
        <w:rPr>
          <w:rFonts w:hint="eastAsia" w:asciiTheme="minorEastAsia" w:hAnsiTheme="minorEastAsia" w:eastAsiaTheme="minorEastAsia" w:cstheme="minorEastAsia"/>
          <w:b w:val="0"/>
          <w:bCs/>
          <w:color w:val="auto"/>
          <w:sz w:val="28"/>
          <w:szCs w:val="28"/>
          <w:highlight w:val="none"/>
          <w:u w:val="single"/>
          <w:lang w:val="en-US" w:eastAsia="zh-CN"/>
        </w:rPr>
        <w:t>壹</w:t>
      </w:r>
      <w:r>
        <w:rPr>
          <w:rFonts w:hint="eastAsia" w:asciiTheme="minorEastAsia" w:hAnsiTheme="minorEastAsia" w:eastAsiaTheme="minorEastAsia" w:cstheme="minorEastAsia"/>
          <w:color w:val="auto"/>
          <w:sz w:val="28"/>
          <w:szCs w:val="28"/>
          <w:highlight w:val="none"/>
        </w:rPr>
        <w:t>份，自甲、乙双方盖章之日</w:t>
      </w:r>
      <w:r>
        <w:rPr>
          <w:rFonts w:hint="eastAsia" w:asciiTheme="minorEastAsia" w:hAnsiTheme="minorEastAsia" w:eastAsiaTheme="minorEastAsia" w:cstheme="minorEastAsia"/>
          <w:color w:val="auto"/>
          <w:sz w:val="28"/>
          <w:szCs w:val="28"/>
          <w:highlight w:val="none"/>
          <w:lang w:val="en-US" w:eastAsia="zh-CN"/>
        </w:rPr>
        <w:t>起</w:t>
      </w:r>
      <w:r>
        <w:rPr>
          <w:rFonts w:hint="eastAsia" w:asciiTheme="minorEastAsia" w:hAnsiTheme="minorEastAsia" w:eastAsiaTheme="minorEastAsia" w:cstheme="minorEastAsia"/>
          <w:color w:val="auto"/>
          <w:sz w:val="28"/>
          <w:szCs w:val="28"/>
          <w:highlight w:val="none"/>
        </w:rPr>
        <w:t>生效。未尽事宜，双方另行签订补充协议，补充协议与本合同具有同等法律效力。</w:t>
      </w:r>
      <w:permStart w:id="0" w:edGrp="everyone"/>
      <w:permEnd w:id="0"/>
    </w:p>
    <w:tbl>
      <w:tblPr>
        <w:tblStyle w:val="9"/>
        <w:tblpPr w:leftFromText="180" w:rightFromText="180" w:vertAnchor="text" w:horzAnchor="page" w:tblpX="1718" w:tblpY="356"/>
        <w:tblOverlap w:val="never"/>
        <w:tblW w:w="0" w:type="auto"/>
        <w:jc w:val="center"/>
        <w:tblLayout w:type="fixed"/>
        <w:tblCellMar>
          <w:top w:w="0" w:type="dxa"/>
          <w:left w:w="108" w:type="dxa"/>
          <w:bottom w:w="0" w:type="dxa"/>
          <w:right w:w="108" w:type="dxa"/>
        </w:tblCellMar>
      </w:tblPr>
      <w:tblGrid>
        <w:gridCol w:w="4487"/>
        <w:gridCol w:w="4320"/>
      </w:tblGrid>
      <w:tr w14:paraId="78545E50">
        <w:tblPrEx>
          <w:tblCellMar>
            <w:top w:w="0" w:type="dxa"/>
            <w:left w:w="108" w:type="dxa"/>
            <w:bottom w:w="0" w:type="dxa"/>
            <w:right w:w="108" w:type="dxa"/>
          </w:tblCellMar>
        </w:tblPrEx>
        <w:trPr>
          <w:trHeight w:val="90" w:hRule="atLeast"/>
          <w:jc w:val="center"/>
        </w:trPr>
        <w:tc>
          <w:tcPr>
            <w:tcW w:w="4487" w:type="dxa"/>
            <w:noWrap w:val="0"/>
            <w:vAlign w:val="center"/>
          </w:tcPr>
          <w:p w14:paraId="3F3CE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rPr>
              <w:t>委托</w:t>
            </w:r>
            <w:r>
              <w:rPr>
                <w:rFonts w:hint="eastAsia" w:asciiTheme="minorEastAsia" w:hAnsiTheme="minorEastAsia" w:eastAsiaTheme="minorEastAsia" w:cstheme="minorEastAsia"/>
                <w:color w:val="auto"/>
                <w:sz w:val="28"/>
                <w:szCs w:val="28"/>
                <w:highlight w:val="none"/>
                <w:lang w:val="en-US" w:eastAsia="zh-CN"/>
              </w:rPr>
              <w:t>方</w:t>
            </w:r>
            <w:r>
              <w:rPr>
                <w:rFonts w:hint="eastAsia" w:asciiTheme="minorEastAsia" w:hAnsiTheme="minorEastAsia" w:eastAsiaTheme="minorEastAsia" w:cstheme="minorEastAsia"/>
                <w:color w:val="auto"/>
                <w:sz w:val="28"/>
                <w:szCs w:val="28"/>
                <w:highlight w:val="none"/>
              </w:rPr>
              <w:t>(盖章)：</w:t>
            </w:r>
          </w:p>
        </w:tc>
        <w:tc>
          <w:tcPr>
            <w:tcW w:w="4320" w:type="dxa"/>
            <w:noWrap w:val="0"/>
            <w:vAlign w:val="center"/>
          </w:tcPr>
          <w:p w14:paraId="1107E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咨询方</w:t>
            </w:r>
            <w:r>
              <w:rPr>
                <w:rFonts w:hint="eastAsia" w:asciiTheme="minorEastAsia" w:hAnsiTheme="minorEastAsia" w:eastAsiaTheme="minorEastAsia" w:cstheme="minorEastAsia"/>
                <w:color w:val="auto"/>
                <w:sz w:val="28"/>
                <w:szCs w:val="28"/>
                <w:highlight w:val="none"/>
              </w:rPr>
              <w:t>(盖章)：</w:t>
            </w:r>
          </w:p>
        </w:tc>
      </w:tr>
      <w:tr w14:paraId="0A38BBEF">
        <w:tblPrEx>
          <w:tblCellMar>
            <w:top w:w="0" w:type="dxa"/>
            <w:left w:w="108" w:type="dxa"/>
            <w:bottom w:w="0" w:type="dxa"/>
            <w:right w:w="108" w:type="dxa"/>
          </w:tblCellMar>
        </w:tblPrEx>
        <w:trPr>
          <w:trHeight w:val="1346" w:hRule="atLeast"/>
          <w:jc w:val="center"/>
        </w:trPr>
        <w:tc>
          <w:tcPr>
            <w:tcW w:w="4487" w:type="dxa"/>
            <w:noWrap w:val="0"/>
            <w:vAlign w:val="center"/>
          </w:tcPr>
          <w:p w14:paraId="04228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t>法定代表人或</w:t>
            </w:r>
          </w:p>
          <w:p w14:paraId="2DE7F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授权代理人(签字或盖章)：</w:t>
            </w:r>
          </w:p>
        </w:tc>
        <w:tc>
          <w:tcPr>
            <w:tcW w:w="4320" w:type="dxa"/>
            <w:noWrap w:val="0"/>
            <w:vAlign w:val="center"/>
          </w:tcPr>
          <w:p w14:paraId="5AF38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w:t>
            </w:r>
          </w:p>
          <w:p w14:paraId="648D7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rPr>
              <w:t>授权代理人(签字或盖章)：</w:t>
            </w:r>
          </w:p>
        </w:tc>
      </w:tr>
      <w:tr w14:paraId="42A3513B">
        <w:tblPrEx>
          <w:tblCellMar>
            <w:top w:w="0" w:type="dxa"/>
            <w:left w:w="108" w:type="dxa"/>
            <w:bottom w:w="0" w:type="dxa"/>
            <w:right w:w="108" w:type="dxa"/>
          </w:tblCellMar>
        </w:tblPrEx>
        <w:trPr>
          <w:trHeight w:val="417" w:hRule="atLeast"/>
          <w:jc w:val="center"/>
        </w:trPr>
        <w:tc>
          <w:tcPr>
            <w:tcW w:w="4487" w:type="dxa"/>
            <w:noWrap w:val="0"/>
            <w:vAlign w:val="center"/>
          </w:tcPr>
          <w:p w14:paraId="4DBEC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kern w:val="0"/>
                <w:sz w:val="28"/>
                <w:szCs w:val="28"/>
                <w:highlight w:val="none"/>
                <w:lang w:val="en-US" w:eastAsia="zh-CN"/>
              </w:rPr>
              <w:t>经 办 人：</w:t>
            </w:r>
          </w:p>
        </w:tc>
        <w:tc>
          <w:tcPr>
            <w:tcW w:w="4320" w:type="dxa"/>
            <w:noWrap w:val="0"/>
            <w:vAlign w:val="center"/>
          </w:tcPr>
          <w:p w14:paraId="03F01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b/>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联 系 人：</w:t>
            </w:r>
          </w:p>
        </w:tc>
      </w:tr>
      <w:tr w14:paraId="7C63E3B0">
        <w:tblPrEx>
          <w:tblCellMar>
            <w:top w:w="0" w:type="dxa"/>
            <w:left w:w="108" w:type="dxa"/>
            <w:bottom w:w="0" w:type="dxa"/>
            <w:right w:w="108" w:type="dxa"/>
          </w:tblCellMar>
        </w:tblPrEx>
        <w:trPr>
          <w:trHeight w:val="430" w:hRule="atLeast"/>
          <w:jc w:val="center"/>
        </w:trPr>
        <w:tc>
          <w:tcPr>
            <w:tcW w:w="4487" w:type="dxa"/>
            <w:noWrap w:val="0"/>
            <w:vAlign w:val="center"/>
          </w:tcPr>
          <w:p w14:paraId="07A9D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kern w:val="0"/>
                <w:sz w:val="28"/>
                <w:szCs w:val="28"/>
                <w:highlight w:val="none"/>
                <w:lang w:val="en-US" w:eastAsia="zh-CN"/>
              </w:rPr>
              <w:t>电    话：19977806696</w:t>
            </w:r>
          </w:p>
        </w:tc>
        <w:tc>
          <w:tcPr>
            <w:tcW w:w="4320" w:type="dxa"/>
            <w:noWrap w:val="0"/>
            <w:vAlign w:val="center"/>
          </w:tcPr>
          <w:p w14:paraId="084C00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电    话：</w:t>
            </w:r>
          </w:p>
        </w:tc>
      </w:tr>
      <w:tr w14:paraId="2D85688D">
        <w:tblPrEx>
          <w:tblCellMar>
            <w:top w:w="0" w:type="dxa"/>
            <w:left w:w="108" w:type="dxa"/>
            <w:bottom w:w="0" w:type="dxa"/>
            <w:right w:w="108" w:type="dxa"/>
          </w:tblCellMar>
        </w:tblPrEx>
        <w:trPr>
          <w:trHeight w:val="404" w:hRule="atLeast"/>
          <w:jc w:val="center"/>
        </w:trPr>
        <w:tc>
          <w:tcPr>
            <w:tcW w:w="4487" w:type="dxa"/>
            <w:noWrap w:val="0"/>
            <w:vAlign w:val="center"/>
          </w:tcPr>
          <w:p w14:paraId="558055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color w:val="auto"/>
                <w:kern w:val="0"/>
                <w:sz w:val="28"/>
                <w:szCs w:val="28"/>
                <w:highlight w:val="none"/>
                <w:lang w:val="en-US"/>
              </w:rPr>
            </w:pPr>
            <w:r>
              <w:rPr>
                <w:rFonts w:hint="eastAsia" w:asciiTheme="minorEastAsia" w:hAnsiTheme="minorEastAsia" w:eastAsiaTheme="minorEastAsia" w:cstheme="minorEastAsia"/>
                <w:color w:val="auto"/>
                <w:kern w:val="0"/>
                <w:sz w:val="28"/>
                <w:szCs w:val="28"/>
                <w:highlight w:val="none"/>
                <w:lang w:val="en-US" w:eastAsia="zh-CN"/>
              </w:rPr>
              <w:t>地    址：金城江区金碧路25号</w:t>
            </w:r>
          </w:p>
        </w:tc>
        <w:tc>
          <w:tcPr>
            <w:tcW w:w="4320" w:type="dxa"/>
            <w:noWrap w:val="0"/>
            <w:vAlign w:val="center"/>
          </w:tcPr>
          <w:p w14:paraId="5CA8E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地    址：</w:t>
            </w:r>
          </w:p>
        </w:tc>
      </w:tr>
      <w:tr w14:paraId="3624F1C7">
        <w:tblPrEx>
          <w:tblCellMar>
            <w:top w:w="0" w:type="dxa"/>
            <w:left w:w="108" w:type="dxa"/>
            <w:bottom w:w="0" w:type="dxa"/>
            <w:right w:w="108" w:type="dxa"/>
          </w:tblCellMar>
        </w:tblPrEx>
        <w:trPr>
          <w:trHeight w:val="411" w:hRule="atLeast"/>
          <w:jc w:val="center"/>
        </w:trPr>
        <w:tc>
          <w:tcPr>
            <w:tcW w:w="4487" w:type="dxa"/>
            <w:noWrap w:val="0"/>
            <w:vAlign w:val="center"/>
          </w:tcPr>
          <w:p w14:paraId="02EBB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lang w:val="en-US" w:eastAsia="zh-CN"/>
              </w:rPr>
              <w:t>电子邮箱：</w:t>
            </w:r>
          </w:p>
        </w:tc>
        <w:tc>
          <w:tcPr>
            <w:tcW w:w="4320" w:type="dxa"/>
            <w:noWrap w:val="0"/>
            <w:vAlign w:val="center"/>
          </w:tcPr>
          <w:p w14:paraId="24B9B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电子邮箱：</w:t>
            </w:r>
          </w:p>
        </w:tc>
      </w:tr>
      <w:tr w14:paraId="722CAF8F">
        <w:tblPrEx>
          <w:tblCellMar>
            <w:top w:w="0" w:type="dxa"/>
            <w:left w:w="108" w:type="dxa"/>
            <w:bottom w:w="0" w:type="dxa"/>
            <w:right w:w="108" w:type="dxa"/>
          </w:tblCellMar>
        </w:tblPrEx>
        <w:trPr>
          <w:trHeight w:val="90" w:hRule="atLeast"/>
          <w:jc w:val="center"/>
        </w:trPr>
        <w:tc>
          <w:tcPr>
            <w:tcW w:w="4487" w:type="dxa"/>
            <w:noWrap w:val="0"/>
            <w:vAlign w:val="center"/>
          </w:tcPr>
          <w:p w14:paraId="0397B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lang w:val="en-US" w:eastAsia="zh-CN"/>
              </w:rPr>
              <w:t>开户名称：</w:t>
            </w:r>
          </w:p>
        </w:tc>
        <w:tc>
          <w:tcPr>
            <w:tcW w:w="4320" w:type="dxa"/>
            <w:noWrap w:val="0"/>
            <w:vAlign w:val="center"/>
          </w:tcPr>
          <w:p w14:paraId="3D119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1400" w:leftChars="0" w:right="0" w:rightChars="0" w:hanging="1400" w:hangingChars="500"/>
              <w:jc w:val="both"/>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开户名称：</w:t>
            </w:r>
          </w:p>
        </w:tc>
      </w:tr>
      <w:tr w14:paraId="2BCB38F5">
        <w:tblPrEx>
          <w:tblCellMar>
            <w:top w:w="0" w:type="dxa"/>
            <w:left w:w="108" w:type="dxa"/>
            <w:bottom w:w="0" w:type="dxa"/>
            <w:right w:w="108" w:type="dxa"/>
          </w:tblCellMar>
        </w:tblPrEx>
        <w:trPr>
          <w:trHeight w:val="440" w:hRule="atLeast"/>
          <w:jc w:val="center"/>
        </w:trPr>
        <w:tc>
          <w:tcPr>
            <w:tcW w:w="4487" w:type="dxa"/>
            <w:noWrap w:val="0"/>
            <w:vAlign w:val="center"/>
          </w:tcPr>
          <w:p w14:paraId="10E19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kern w:val="0"/>
                <w:sz w:val="28"/>
                <w:szCs w:val="28"/>
                <w:highlight w:val="none"/>
                <w:lang w:val="en-US" w:eastAsia="zh-CN"/>
              </w:rPr>
              <w:t>开户银行：</w:t>
            </w:r>
          </w:p>
        </w:tc>
        <w:tc>
          <w:tcPr>
            <w:tcW w:w="4320" w:type="dxa"/>
            <w:noWrap w:val="0"/>
            <w:vAlign w:val="center"/>
          </w:tcPr>
          <w:p w14:paraId="192D1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1400" w:leftChars="0" w:right="0" w:rightChars="0" w:hanging="1400" w:hangingChars="500"/>
              <w:jc w:val="both"/>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开户银行：</w:t>
            </w:r>
          </w:p>
        </w:tc>
      </w:tr>
      <w:tr w14:paraId="72AC1847">
        <w:tblPrEx>
          <w:tblCellMar>
            <w:top w:w="0" w:type="dxa"/>
            <w:left w:w="108" w:type="dxa"/>
            <w:bottom w:w="0" w:type="dxa"/>
            <w:right w:w="108" w:type="dxa"/>
          </w:tblCellMar>
        </w:tblPrEx>
        <w:trPr>
          <w:trHeight w:val="90" w:hRule="atLeast"/>
          <w:jc w:val="center"/>
        </w:trPr>
        <w:tc>
          <w:tcPr>
            <w:tcW w:w="4487" w:type="dxa"/>
            <w:noWrap w:val="0"/>
            <w:vAlign w:val="center"/>
          </w:tcPr>
          <w:p w14:paraId="4F6C0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kern w:val="0"/>
                <w:sz w:val="28"/>
                <w:szCs w:val="28"/>
                <w:highlight w:val="none"/>
                <w:lang w:val="en-US" w:eastAsia="zh-CN"/>
              </w:rPr>
              <w:t>账    号：</w:t>
            </w:r>
          </w:p>
        </w:tc>
        <w:tc>
          <w:tcPr>
            <w:tcW w:w="4320" w:type="dxa"/>
            <w:noWrap w:val="0"/>
            <w:vAlign w:val="center"/>
          </w:tcPr>
          <w:p w14:paraId="5D2F0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账</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lang w:val="en-US" w:eastAsia="zh-CN"/>
              </w:rPr>
              <w:t xml:space="preserve">号：    </w:t>
            </w:r>
          </w:p>
        </w:tc>
      </w:tr>
      <w:tr w14:paraId="478890A4">
        <w:tblPrEx>
          <w:tblCellMar>
            <w:top w:w="0" w:type="dxa"/>
            <w:left w:w="108" w:type="dxa"/>
            <w:bottom w:w="0" w:type="dxa"/>
            <w:right w:w="108" w:type="dxa"/>
          </w:tblCellMar>
        </w:tblPrEx>
        <w:trPr>
          <w:trHeight w:val="490" w:hRule="atLeast"/>
          <w:jc w:val="center"/>
        </w:trPr>
        <w:tc>
          <w:tcPr>
            <w:tcW w:w="4487" w:type="dxa"/>
            <w:noWrap w:val="0"/>
            <w:vAlign w:val="center"/>
          </w:tcPr>
          <w:p w14:paraId="2E133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t>社会信用代码：</w:t>
            </w:r>
          </w:p>
        </w:tc>
        <w:tc>
          <w:tcPr>
            <w:tcW w:w="4320" w:type="dxa"/>
            <w:noWrap w:val="0"/>
            <w:vAlign w:val="center"/>
          </w:tcPr>
          <w:p w14:paraId="26040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社会信用代码：</w:t>
            </w:r>
          </w:p>
        </w:tc>
      </w:tr>
      <w:tr w14:paraId="2DE09080">
        <w:tblPrEx>
          <w:tblCellMar>
            <w:top w:w="0" w:type="dxa"/>
            <w:left w:w="108" w:type="dxa"/>
            <w:bottom w:w="0" w:type="dxa"/>
            <w:right w:w="108" w:type="dxa"/>
          </w:tblCellMar>
        </w:tblPrEx>
        <w:trPr>
          <w:trHeight w:val="796" w:hRule="atLeast"/>
          <w:jc w:val="center"/>
        </w:trPr>
        <w:tc>
          <w:tcPr>
            <w:tcW w:w="8807" w:type="dxa"/>
            <w:gridSpan w:val="2"/>
            <w:noWrap w:val="0"/>
            <w:vAlign w:val="center"/>
          </w:tcPr>
          <w:p w14:paraId="1DC26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lang w:eastAsia="zh-CN"/>
              </w:rPr>
              <w:t>日期：</w:t>
            </w:r>
            <w:r>
              <w:rPr>
                <w:rFonts w:hint="eastAsia" w:asciiTheme="minorEastAsia" w:hAnsiTheme="minorEastAsia" w:eastAsiaTheme="minorEastAsia" w:cstheme="minorEastAsia"/>
                <w:color w:val="auto"/>
                <w:sz w:val="28"/>
                <w:szCs w:val="28"/>
                <w:highlight w:val="none"/>
                <w:lang w:val="en-US" w:eastAsia="zh-CN"/>
              </w:rPr>
              <w:t xml:space="preserve">    年   月   日</w:t>
            </w:r>
          </w:p>
        </w:tc>
      </w:tr>
    </w:tbl>
    <w:p w14:paraId="476087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kern w:val="2"/>
          <w:sz w:val="28"/>
          <w:szCs w:val="28"/>
          <w:lang w:val="en-US" w:eastAsia="zh-CN" w:bidi="ar-SA"/>
        </w:rPr>
      </w:pPr>
    </w:p>
    <w:sectPr>
      <w:headerReference r:id="rId3" w:type="default"/>
      <w:footerReference r:id="rId4" w:type="default"/>
      <w:pgSz w:w="11906" w:h="16838"/>
      <w:pgMar w:top="2098" w:right="1474" w:bottom="127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58E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BA25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8BA25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02D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C28D8"/>
    <w:multiLevelType w:val="singleLevel"/>
    <w:tmpl w:val="47BC28D8"/>
    <w:lvl w:ilvl="0" w:tentative="0">
      <w:start w:val="5"/>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C3826"/>
    <w:rsid w:val="024F44B3"/>
    <w:rsid w:val="02922C89"/>
    <w:rsid w:val="030B2604"/>
    <w:rsid w:val="04697CC2"/>
    <w:rsid w:val="06F41C84"/>
    <w:rsid w:val="098A7CDE"/>
    <w:rsid w:val="0AEA1189"/>
    <w:rsid w:val="0BC46F31"/>
    <w:rsid w:val="0C1217F0"/>
    <w:rsid w:val="0C152235"/>
    <w:rsid w:val="0C643807"/>
    <w:rsid w:val="107439CE"/>
    <w:rsid w:val="119D71F9"/>
    <w:rsid w:val="12107727"/>
    <w:rsid w:val="125910CE"/>
    <w:rsid w:val="125C2C63"/>
    <w:rsid w:val="139E3270"/>
    <w:rsid w:val="142B7721"/>
    <w:rsid w:val="156C2EC6"/>
    <w:rsid w:val="19E33973"/>
    <w:rsid w:val="1C8966E6"/>
    <w:rsid w:val="1E562965"/>
    <w:rsid w:val="1EB57EA7"/>
    <w:rsid w:val="1F262B56"/>
    <w:rsid w:val="20A97509"/>
    <w:rsid w:val="216D6BAB"/>
    <w:rsid w:val="217F456A"/>
    <w:rsid w:val="22105521"/>
    <w:rsid w:val="238E4EA7"/>
    <w:rsid w:val="24F16E09"/>
    <w:rsid w:val="25197223"/>
    <w:rsid w:val="26A66382"/>
    <w:rsid w:val="28520641"/>
    <w:rsid w:val="2B2362C5"/>
    <w:rsid w:val="2BA44E76"/>
    <w:rsid w:val="2C693A63"/>
    <w:rsid w:val="2E452726"/>
    <w:rsid w:val="2E5B2057"/>
    <w:rsid w:val="2EDE0482"/>
    <w:rsid w:val="2EF302AE"/>
    <w:rsid w:val="30334530"/>
    <w:rsid w:val="30BC3826"/>
    <w:rsid w:val="345F6138"/>
    <w:rsid w:val="352B46F4"/>
    <w:rsid w:val="368E3741"/>
    <w:rsid w:val="379E12D5"/>
    <w:rsid w:val="397367C5"/>
    <w:rsid w:val="3C177780"/>
    <w:rsid w:val="3E1D699B"/>
    <w:rsid w:val="3F4166B3"/>
    <w:rsid w:val="43572F6F"/>
    <w:rsid w:val="439E16EA"/>
    <w:rsid w:val="4571704B"/>
    <w:rsid w:val="45EF2E24"/>
    <w:rsid w:val="46FC29F1"/>
    <w:rsid w:val="48021F9D"/>
    <w:rsid w:val="4C24044B"/>
    <w:rsid w:val="4DDE5823"/>
    <w:rsid w:val="4F6C44E9"/>
    <w:rsid w:val="503F31DC"/>
    <w:rsid w:val="50F32112"/>
    <w:rsid w:val="53690469"/>
    <w:rsid w:val="53A8239A"/>
    <w:rsid w:val="543C16DA"/>
    <w:rsid w:val="55747599"/>
    <w:rsid w:val="55D911AB"/>
    <w:rsid w:val="57837B9E"/>
    <w:rsid w:val="57F64296"/>
    <w:rsid w:val="58507E4A"/>
    <w:rsid w:val="588D597B"/>
    <w:rsid w:val="58C228BE"/>
    <w:rsid w:val="59080725"/>
    <w:rsid w:val="59F91D02"/>
    <w:rsid w:val="59FE5684"/>
    <w:rsid w:val="5BED775E"/>
    <w:rsid w:val="5DFB0858"/>
    <w:rsid w:val="5E063F16"/>
    <w:rsid w:val="5E9A0BB5"/>
    <w:rsid w:val="5FEB00FE"/>
    <w:rsid w:val="619B2A57"/>
    <w:rsid w:val="61BA6334"/>
    <w:rsid w:val="69C73CE4"/>
    <w:rsid w:val="69FC4993"/>
    <w:rsid w:val="6C7672FB"/>
    <w:rsid w:val="6E1378E8"/>
    <w:rsid w:val="6F0926A9"/>
    <w:rsid w:val="6F467459"/>
    <w:rsid w:val="6F51652A"/>
    <w:rsid w:val="71836742"/>
    <w:rsid w:val="725956F5"/>
    <w:rsid w:val="7270316B"/>
    <w:rsid w:val="75021039"/>
    <w:rsid w:val="75322959"/>
    <w:rsid w:val="76236C5B"/>
    <w:rsid w:val="76B73C11"/>
    <w:rsid w:val="788C43F9"/>
    <w:rsid w:val="7D006E99"/>
    <w:rsid w:val="7EA6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hAnsi="Courier New"/>
      <w:sz w:val="18"/>
      <w:szCs w:val="20"/>
    </w:rPr>
  </w:style>
  <w:style w:type="paragraph" w:styleId="3">
    <w:name w:val="Body Text"/>
    <w:basedOn w:val="1"/>
    <w:next w:val="4"/>
    <w:qFormat/>
    <w:uiPriority w:val="99"/>
    <w:pPr>
      <w:jc w:val="center"/>
    </w:pPr>
    <w:rPr>
      <w:sz w:val="52"/>
    </w:rPr>
  </w:style>
  <w:style w:type="paragraph" w:styleId="4">
    <w:name w:val="toc 5"/>
    <w:basedOn w:val="1"/>
    <w:next w:val="1"/>
    <w:qFormat/>
    <w:uiPriority w:val="39"/>
    <w:pPr>
      <w:ind w:left="840"/>
      <w:jc w:val="left"/>
    </w:pPr>
    <w:rPr>
      <w:sz w:val="18"/>
      <w:szCs w:val="18"/>
    </w:rPr>
  </w:style>
  <w:style w:type="paragraph" w:styleId="5">
    <w:name w:val="Body Text Indent"/>
    <w:basedOn w:val="1"/>
    <w:unhideWhenUsed/>
    <w:qFormat/>
    <w:uiPriority w:val="0"/>
    <w:pPr>
      <w:ind w:firstLine="640" w:firstLineChars="200"/>
    </w:pPr>
    <w:rPr>
      <w:kern w:val="0"/>
      <w:sz w:val="32"/>
    </w:rPr>
  </w:style>
  <w:style w:type="paragraph" w:styleId="6">
    <w:name w:val="Plain Text"/>
    <w:basedOn w:val="1"/>
    <w:qFormat/>
    <w:uiPriority w:val="0"/>
    <w:rPr>
      <w:rFonts w:ascii="宋体" w:hAnsi="Courier New"/>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11">
    <w:name w:val="page number"/>
    <w:basedOn w:val="10"/>
    <w:qFormat/>
    <w:uiPriority w:val="0"/>
  </w:style>
  <w:style w:type="paragraph" w:customStyle="1" w:styleId="12">
    <w:name w:val="引言二级条标题"/>
    <w:basedOn w:val="13"/>
    <w:next w:val="14"/>
    <w:qFormat/>
    <w:uiPriority w:val="0"/>
    <w:pPr>
      <w:ind w:left="0" w:firstLine="0"/>
    </w:pPr>
    <w:rPr>
      <w:rFonts w:eastAsia="宋体"/>
    </w:rPr>
  </w:style>
  <w:style w:type="paragraph" w:customStyle="1" w:styleId="13">
    <w:name w:val="引言一级条标题"/>
    <w:basedOn w:val="1"/>
    <w:next w:val="14"/>
    <w:qFormat/>
    <w:uiPriority w:val="0"/>
    <w:pPr>
      <w:widowControl/>
      <w:spacing w:beforeAutospacing="1" w:afterAutospacing="1"/>
      <w:ind w:left="900" w:hanging="900"/>
    </w:pPr>
    <w:rPr>
      <w:rFonts w:eastAsia="黑体"/>
      <w:b/>
      <w:bCs/>
    </w:rPr>
  </w:style>
  <w:style w:type="paragraph" w:customStyle="1" w:styleId="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Fließtext"/>
    <w:basedOn w:val="1"/>
    <w:qFormat/>
    <w:uiPriority w:val="99"/>
    <w:pPr>
      <w:overflowPunct w:val="0"/>
      <w:autoSpaceDE w:val="0"/>
      <w:autoSpaceDN w:val="0"/>
      <w:adjustRightInd w:val="0"/>
      <w:textAlignment w:val="baseline"/>
    </w:pPr>
    <w:rPr>
      <w:kern w:val="28"/>
      <w:szCs w:val="20"/>
    </w:rPr>
  </w:style>
  <w:style w:type="character" w:customStyle="1" w:styleId="16">
    <w:name w:val="font11"/>
    <w:basedOn w:val="10"/>
    <w:qFormat/>
    <w:uiPriority w:val="0"/>
    <w:rPr>
      <w:rFonts w:ascii="仿宋_GB2312" w:eastAsia="仿宋_GB2312" w:cs="仿宋_GB2312"/>
      <w:color w:val="000000"/>
      <w:sz w:val="22"/>
      <w:szCs w:val="22"/>
      <w:u w:val="none"/>
    </w:rPr>
  </w:style>
  <w:style w:type="character" w:customStyle="1" w:styleId="17">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3597</Words>
  <Characters>3967</Characters>
  <Lines>0</Lines>
  <Paragraphs>0</Paragraphs>
  <TotalTime>20</TotalTime>
  <ScaleCrop>false</ScaleCrop>
  <LinksUpToDate>false</LinksUpToDate>
  <CharactersWithSpaces>4597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2021-08-13T03:04:00Z</dcterms:created>
  <dc:creator>川爺</dc:creator>
  <cp:lastModifiedBy>海豚</cp:lastModifiedBy>
  <cp:lastPrinted>2025-08-12T02:31:00Z</cp:lastPrinted>
  <dcterms:modified xsi:type="dcterms:W3CDTF">2025-08-12T06:05:27Z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86AD54154E2F41EE9BEDEF7DE9E01C3C</vt:lpwstr>
  </property>
  <property fmtid="{D5CDD505-2E9C-101B-9397-08002B2CF9AE}" pid="4" name="KSOTemplateDocerSaveRecord">
    <vt:lpwstr>eyJoZGlkIjoiN2EyNzhmMDI3YjBjNDNhZGVhODZhYjNjYjVlYTE5YmMiLCJ1c2VySWQiOiI0MzY2Mzg0NTYifQ==</vt:lpwstr>
  </property>
</Properties>
</file>