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0F9F">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4267F1D">
      <w:pPr>
        <w:keepNext w:val="0"/>
        <w:keepLines w:val="0"/>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000000"/>
          <w:sz w:val="52"/>
          <w:szCs w:val="52"/>
        </w:rPr>
      </w:pPr>
      <w:r>
        <w:rPr>
          <w:rFonts w:hint="eastAsia" w:hAnsi="宋体" w:eastAsia="宋体" w:cs="Times New Roman"/>
          <w:color w:val="000000"/>
          <w:sz w:val="52"/>
          <w:szCs w:val="52"/>
        </w:rPr>
        <w:t>报价表</w:t>
      </w:r>
    </w:p>
    <w:p w14:paraId="465793A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23D4562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u w:val="single"/>
        </w:rPr>
      </w:pPr>
      <w:r>
        <w:rPr>
          <w:rFonts w:hint="eastAsia" w:hAnsi="宋体" w:eastAsia="宋体" w:cs="Times New Roman"/>
          <w:color w:val="000000"/>
          <w:sz w:val="32"/>
          <w:szCs w:val="32"/>
          <w:lang w:eastAsia="zh-CN"/>
        </w:rPr>
        <w:t>投标</w:t>
      </w:r>
      <w:r>
        <w:rPr>
          <w:rFonts w:hint="eastAsia" w:hAnsi="宋体" w:eastAsia="宋体" w:cs="Times New Roman"/>
          <w:color w:val="000000"/>
          <w:sz w:val="32"/>
          <w:szCs w:val="32"/>
        </w:rPr>
        <w:t>单位（公章）：</w:t>
      </w:r>
      <w:r>
        <w:rPr>
          <w:rFonts w:hint="eastAsia" w:hAnsi="宋体" w:eastAsia="宋体" w:cs="Times New Roman"/>
          <w:color w:val="000000"/>
          <w:sz w:val="32"/>
          <w:szCs w:val="32"/>
          <w:u w:val="single"/>
        </w:rPr>
        <w:t xml:space="preserve">                                </w:t>
      </w:r>
    </w:p>
    <w:p w14:paraId="00C86CE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7CE79E74">
      <w:pPr>
        <w:pStyle w:val="9"/>
        <w:keepNext w:val="0"/>
        <w:keepLines w:val="0"/>
        <w:pageBreakBefore w:val="0"/>
        <w:widowControl/>
        <w:kinsoku/>
        <w:wordWrap/>
        <w:overflowPunct/>
        <w:topLinePunct w:val="0"/>
        <w:autoSpaceDE/>
        <w:autoSpaceDN/>
        <w:bidi w:val="0"/>
        <w:adjustRightInd/>
        <w:snapToGrid/>
        <w:spacing w:line="540" w:lineRule="exact"/>
        <w:ind w:left="1600" w:hanging="1600" w:hangingChars="500"/>
        <w:textAlignment w:val="auto"/>
        <w:rPr>
          <w:rFonts w:hint="eastAsia" w:hAnsi="宋体" w:eastAsia="宋体" w:cs="Times New Roman"/>
          <w:color w:val="000000"/>
          <w:sz w:val="32"/>
          <w:szCs w:val="32"/>
          <w:lang w:val="en-US" w:eastAsia="zh-CN"/>
        </w:rPr>
      </w:pPr>
      <w:r>
        <w:rPr>
          <w:rFonts w:hint="eastAsia" w:hAnsi="宋体" w:eastAsia="宋体" w:cs="Times New Roman"/>
          <w:color w:val="000000"/>
          <w:sz w:val="32"/>
          <w:szCs w:val="32"/>
        </w:rPr>
        <w:t>项目名称：</w:t>
      </w:r>
      <w:r>
        <w:rPr>
          <w:rFonts w:hint="eastAsia" w:hAnsi="宋体" w:eastAsia="宋体" w:cs="Times New Roman"/>
          <w:color w:val="000000"/>
          <w:sz w:val="32"/>
          <w:szCs w:val="32"/>
          <w:u w:val="single"/>
          <w:lang w:val="en-US" w:eastAsia="zh-CN"/>
        </w:rPr>
        <w:t>广西桂西北治旱龙江河谷灌区工程股权投资机制及方案设计单位市场询价服务</w:t>
      </w:r>
    </w:p>
    <w:p w14:paraId="24712446">
      <w:pPr>
        <w:pStyle w:val="9"/>
        <w:keepNext w:val="0"/>
        <w:keepLines w:val="0"/>
        <w:pageBreakBefore w:val="0"/>
        <w:widowControl/>
        <w:kinsoku/>
        <w:wordWrap/>
        <w:overflowPunct/>
        <w:topLinePunct w:val="0"/>
        <w:autoSpaceDE/>
        <w:autoSpaceDN/>
        <w:bidi w:val="0"/>
        <w:adjustRightInd/>
        <w:snapToGrid/>
        <w:spacing w:line="560" w:lineRule="exact"/>
        <w:ind w:left="1600" w:hanging="1400" w:hangingChars="500"/>
        <w:textAlignment w:val="auto"/>
        <w:rPr>
          <w:rFonts w:hint="eastAsia" w:ascii="宋体" w:hAnsi="宋体" w:eastAsia="宋体" w:cs="宋体"/>
          <w:color w:val="auto"/>
          <w:kern w:val="2"/>
          <w:sz w:val="28"/>
          <w:szCs w:val="28"/>
          <w:highlight w:val="none"/>
          <w:u w:val="single"/>
          <w:lang w:val="en-US" w:eastAsia="zh-CN" w:bidi="ar-SA"/>
        </w:rPr>
      </w:pPr>
    </w:p>
    <w:p w14:paraId="133D9A64">
      <w:pPr>
        <w:keepNext w:val="0"/>
        <w:keepLines w:val="0"/>
        <w:pageBreakBefore w:val="0"/>
        <w:kinsoku/>
        <w:wordWrap/>
        <w:overflowPunct/>
        <w:topLinePunct w:val="0"/>
        <w:autoSpaceDE/>
        <w:autoSpaceDN/>
        <w:bidi w:val="0"/>
        <w:adjustRightInd/>
        <w:spacing w:line="600" w:lineRule="exact"/>
        <w:ind w:left="1600" w:hanging="1600" w:hangingChars="500"/>
        <w:textAlignment w:val="auto"/>
        <w:rPr>
          <w:rFonts w:hint="default" w:hAnsi="宋体" w:eastAsia="宋体" w:cs="Times New Roman"/>
          <w:color w:val="000000"/>
          <w:sz w:val="32"/>
          <w:szCs w:val="32"/>
          <w:u w:val="single"/>
          <w:lang w:val="en-US" w:eastAsia="zh-CN"/>
        </w:rPr>
      </w:pPr>
    </w:p>
    <w:p w14:paraId="14A6DA1F">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1FA1EE0D">
      <w:pPr>
        <w:keepNext w:val="0"/>
        <w:keepLines w:val="0"/>
        <w:pageBreakBefore w:val="0"/>
        <w:kinsoku/>
        <w:wordWrap/>
        <w:overflowPunct/>
        <w:topLinePunct w:val="0"/>
        <w:autoSpaceDE/>
        <w:autoSpaceDN/>
        <w:bidi w:val="0"/>
        <w:adjustRightInd/>
        <w:spacing w:line="600" w:lineRule="exact"/>
        <w:textAlignment w:val="auto"/>
        <w:rPr>
          <w:rFonts w:hint="default" w:hAnsi="宋体" w:eastAsia="宋体" w:cs="Times New Roman"/>
          <w:color w:val="000000"/>
          <w:sz w:val="32"/>
          <w:szCs w:val="32"/>
          <w:u w:val="single"/>
          <w:lang w:val="en-US" w:eastAsia="zh-CN"/>
        </w:rPr>
      </w:pPr>
      <w:r>
        <w:rPr>
          <w:rFonts w:hint="eastAsia" w:hAnsi="宋体" w:eastAsia="宋体" w:cs="Times New Roman"/>
          <w:color w:val="000000"/>
          <w:sz w:val="32"/>
          <w:szCs w:val="32"/>
        </w:rPr>
        <w:t>项目编号：</w:t>
      </w:r>
      <w:r>
        <w:rPr>
          <w:rFonts w:hint="eastAsia" w:ascii="宋体" w:hAnsi="宋体" w:eastAsia="宋体" w:cs="宋体"/>
          <w:color w:val="auto"/>
          <w:kern w:val="2"/>
          <w:sz w:val="28"/>
          <w:szCs w:val="28"/>
          <w:highlight w:val="none"/>
          <w:u w:val="single"/>
          <w:lang w:val="en-US" w:eastAsia="zh-CN" w:bidi="ar-SA"/>
        </w:rPr>
        <w:t>HCCT202</w:t>
      </w:r>
      <w:r>
        <w:rPr>
          <w:rFonts w:hint="eastAsia" w:ascii="宋体" w:hAnsi="宋体" w:cs="宋体"/>
          <w:color w:val="auto"/>
          <w:kern w:val="2"/>
          <w:sz w:val="28"/>
          <w:szCs w:val="28"/>
          <w:highlight w:val="none"/>
          <w:u w:val="single"/>
          <w:lang w:val="en-US" w:eastAsia="zh-CN" w:bidi="ar-SA"/>
        </w:rPr>
        <w:t>5</w:t>
      </w:r>
      <w:r>
        <w:rPr>
          <w:rFonts w:hint="eastAsia" w:ascii="宋体" w:hAnsi="宋体" w:eastAsia="宋体" w:cs="宋体"/>
          <w:color w:val="auto"/>
          <w:kern w:val="2"/>
          <w:sz w:val="28"/>
          <w:szCs w:val="28"/>
          <w:highlight w:val="none"/>
          <w:u w:val="single"/>
          <w:lang w:val="en-US" w:eastAsia="zh-CN" w:bidi="ar-SA"/>
        </w:rPr>
        <w:t>0</w:t>
      </w:r>
      <w:r>
        <w:rPr>
          <w:rFonts w:hint="eastAsia" w:ascii="宋体" w:hAnsi="宋体" w:cs="宋体"/>
          <w:color w:val="auto"/>
          <w:kern w:val="2"/>
          <w:sz w:val="28"/>
          <w:szCs w:val="28"/>
          <w:highlight w:val="none"/>
          <w:u w:val="single"/>
          <w:lang w:val="en-US" w:eastAsia="zh-CN" w:bidi="ar-SA"/>
        </w:rPr>
        <w:t>25</w:t>
      </w:r>
      <w:r>
        <w:rPr>
          <w:rFonts w:hint="eastAsia" w:ascii="宋体" w:hAnsi="宋体" w:eastAsia="宋体" w:cs="宋体"/>
          <w:color w:val="auto"/>
          <w:kern w:val="2"/>
          <w:sz w:val="28"/>
          <w:szCs w:val="28"/>
          <w:highlight w:val="none"/>
          <w:u w:val="single"/>
          <w:lang w:val="en-US" w:eastAsia="zh-CN" w:bidi="ar-SA"/>
        </w:rPr>
        <w:t>号</w:t>
      </w:r>
    </w:p>
    <w:p w14:paraId="184C7AC8">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34D1C651">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36E41D4B">
      <w:pPr>
        <w:keepNext w:val="0"/>
        <w:keepLines w:val="0"/>
        <w:pageBreakBefore w:val="0"/>
        <w:kinsoku/>
        <w:wordWrap/>
        <w:overflowPunct/>
        <w:topLinePunct w:val="0"/>
        <w:autoSpaceDE/>
        <w:autoSpaceDN/>
        <w:bidi w:val="0"/>
        <w:adjustRightInd/>
        <w:spacing w:line="600" w:lineRule="exact"/>
        <w:jc w:val="left"/>
        <w:textAlignment w:val="auto"/>
        <w:rPr>
          <w:rFonts w:hint="eastAsia" w:ascii="仿宋_GB2312" w:hAnsi="仿宋" w:eastAsia="仿宋_GB2312"/>
          <w:sz w:val="32"/>
          <w:szCs w:val="32"/>
        </w:rPr>
      </w:pPr>
      <w:r>
        <w:rPr>
          <w:rFonts w:ascii="Arial" w:hAnsi="Arial" w:eastAsia="Arial" w:cs="Arial"/>
          <w:i w:val="0"/>
          <w:iCs w:val="0"/>
          <w:caps w:val="0"/>
          <w:color w:val="000000"/>
          <w:spacing w:val="0"/>
          <w:sz w:val="28"/>
          <w:szCs w:val="28"/>
          <w:shd w:val="clear" w:fill="FFFFFF"/>
        </w:rPr>
        <w:t>下浮系数</w:t>
      </w:r>
      <w:r>
        <w:rPr>
          <w:rFonts w:hint="eastAsia" w:hAnsi="宋体" w:eastAsia="宋体" w:cs="Times New Roman"/>
          <w:color w:val="000000"/>
          <w:sz w:val="32"/>
          <w:szCs w:val="32"/>
        </w:rPr>
        <w:t>：</w:t>
      </w:r>
      <w:r>
        <w:rPr>
          <w:rFonts w:hint="eastAsia" w:ascii="仿宋_GB2312" w:hAnsi="仿宋" w:eastAsia="仿宋_GB2312"/>
          <w:sz w:val="32"/>
          <w:szCs w:val="32"/>
          <w:u w:val="single"/>
        </w:rPr>
        <w:t xml:space="preserve">               </w:t>
      </w:r>
    </w:p>
    <w:p w14:paraId="798917C0">
      <w:pPr>
        <w:keepNext w:val="0"/>
        <w:keepLines w:val="0"/>
        <w:pageBreakBefore w:val="0"/>
        <w:kinsoku/>
        <w:wordWrap/>
        <w:overflowPunct/>
        <w:topLinePunct w:val="0"/>
        <w:autoSpaceDE/>
        <w:autoSpaceDN/>
        <w:bidi w:val="0"/>
        <w:adjustRightInd/>
        <w:spacing w:line="600" w:lineRule="exact"/>
        <w:ind w:firstLine="1280" w:firstLineChars="400"/>
        <w:textAlignment w:val="auto"/>
        <w:rPr>
          <w:rFonts w:hint="eastAsia" w:hAnsi="宋体" w:eastAsia="宋体" w:cs="Times New Roman"/>
          <w:color w:val="000000"/>
          <w:sz w:val="32"/>
          <w:szCs w:val="32"/>
        </w:rPr>
      </w:pPr>
      <w:r>
        <w:rPr>
          <w:rFonts w:hint="eastAsia" w:hAnsi="宋体" w:eastAsia="宋体" w:cs="Times New Roman"/>
          <w:color w:val="000000"/>
          <w:sz w:val="32"/>
          <w:szCs w:val="32"/>
        </w:rPr>
        <w:t xml:space="preserve">                                </w:t>
      </w:r>
    </w:p>
    <w:p w14:paraId="36DF8BCD">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455474E4">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72EAB1FB">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6C01C1D7">
      <w:pPr>
        <w:keepNext w:val="0"/>
        <w:keepLines w:val="0"/>
        <w:pageBreakBefore w:val="0"/>
        <w:kinsoku/>
        <w:wordWrap/>
        <w:overflowPunct/>
        <w:topLinePunct w:val="0"/>
        <w:autoSpaceDE/>
        <w:autoSpaceDN/>
        <w:bidi w:val="0"/>
        <w:adjustRightInd/>
        <w:spacing w:line="600" w:lineRule="exact"/>
        <w:ind w:firstLine="6080" w:firstLineChars="1900"/>
        <w:textAlignment w:val="auto"/>
        <w:rPr>
          <w:rFonts w:hint="eastAsia" w:hAnsi="宋体" w:eastAsia="宋体" w:cs="Times New Roman"/>
          <w:color w:val="000000"/>
        </w:rPr>
      </w:pPr>
      <w:r>
        <w:rPr>
          <w:rFonts w:hint="eastAsia" w:hAnsi="宋体" w:eastAsia="宋体" w:cs="Times New Roman"/>
          <w:color w:val="000000"/>
          <w:sz w:val="32"/>
          <w:szCs w:val="32"/>
          <w:lang w:eastAsia="zh-CN"/>
        </w:rPr>
        <w:t>年</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月</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日</w:t>
      </w:r>
      <w:r>
        <w:rPr>
          <w:rFonts w:hint="eastAsia" w:hAnsi="宋体" w:eastAsia="宋体" w:cs="Times New Roman"/>
          <w:color w:val="000000"/>
          <w:sz w:val="32"/>
          <w:szCs w:val="32"/>
        </w:rPr>
        <w:t xml:space="preserve">                    </w:t>
      </w:r>
    </w:p>
    <w:p w14:paraId="10FD550D">
      <w:pPr>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b/>
          <w:bCs/>
        </w:rPr>
      </w:pPr>
      <w:r>
        <w:rPr>
          <w:rFonts w:hint="eastAsia" w:ascii="仿宋_GB2312" w:eastAsia="仿宋_GB2312"/>
          <w:b/>
          <w:bCs/>
        </w:rPr>
        <w:t>注：0&lt;下浮系数&lt;1</w:t>
      </w:r>
      <w:r>
        <w:rPr>
          <w:rFonts w:hint="eastAsia" w:ascii="仿宋_GB2312" w:eastAsia="仿宋_GB2312"/>
          <w:b/>
          <w:bCs/>
          <w:lang w:val="en-US" w:eastAsia="zh-CN"/>
        </w:rPr>
        <w:t>00%</w:t>
      </w:r>
      <w:r>
        <w:rPr>
          <w:rFonts w:hint="eastAsia" w:ascii="仿宋_GB2312" w:eastAsia="仿宋_GB2312"/>
          <w:b/>
          <w:bCs/>
        </w:rPr>
        <w:t xml:space="preserve">为有效报价。 </w:t>
      </w:r>
    </w:p>
    <w:p w14:paraId="094DB2BE">
      <w:pPr>
        <w:pStyle w:val="6"/>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7DD676A0">
      <w:pPr>
        <w:pStyle w:val="6"/>
        <w:keepNext w:val="0"/>
        <w:keepLines w:val="0"/>
        <w:pageBreakBefore w:val="0"/>
        <w:kinsoku/>
        <w:wordWrap/>
        <w:overflowPunct/>
        <w:topLinePunct w:val="0"/>
        <w:bidi w:val="0"/>
        <w:adjustRightInd/>
        <w:spacing w:line="600" w:lineRule="exact"/>
        <w:textAlignment w:val="auto"/>
      </w:pPr>
    </w:p>
    <w:p w14:paraId="512416F1">
      <w:pPr>
        <w:keepNext w:val="0"/>
        <w:keepLines w:val="0"/>
        <w:pageBreakBefore w:val="0"/>
        <w:kinsoku/>
        <w:wordWrap/>
        <w:overflowPunct/>
        <w:topLinePunct w:val="0"/>
        <w:bidi w:val="0"/>
        <w:adjustRightInd/>
        <w:spacing w:line="600" w:lineRule="exact"/>
        <w:jc w:val="left"/>
        <w:textAlignment w:val="auto"/>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附件2</w:t>
      </w:r>
    </w:p>
    <w:p w14:paraId="710C6BCB">
      <w:pPr>
        <w:keepNext w:val="0"/>
        <w:keepLines w:val="0"/>
        <w:pageBreakBefore w:val="0"/>
        <w:widowControl w:val="0"/>
        <w:kinsoku/>
        <w:wordWrap/>
        <w:overflowPunct/>
        <w:topLinePunct w:val="0"/>
        <w:autoSpaceDE w:val="0"/>
        <w:autoSpaceDN w:val="0"/>
        <w:bidi w:val="0"/>
        <w:adjustRightInd/>
        <w:snapToGrid w:val="0"/>
        <w:spacing w:line="600" w:lineRule="exact"/>
        <w:ind w:firstLine="5120" w:firstLineChars="1600"/>
        <w:jc w:val="left"/>
        <w:textAlignment w:val="auto"/>
        <w:rPr>
          <w:rFonts w:hint="default" w:ascii="宋体" w:hAnsi="宋体" w:eastAsia="宋体" w:cs="宋体"/>
          <w:color w:val="auto"/>
          <w:kern w:val="0"/>
          <w:sz w:val="32"/>
          <w:szCs w:val="32"/>
          <w:highlight w:val="none"/>
          <w:lang w:val="en-US" w:eastAsia="zh-CN" w:bidi="zh-CN"/>
        </w:rPr>
      </w:pPr>
      <w:r>
        <w:rPr>
          <w:rFonts w:hint="eastAsia" w:ascii="宋体" w:hAnsi="宋体" w:eastAsia="宋体" w:cs="宋体"/>
          <w:color w:val="auto"/>
          <w:kern w:val="0"/>
          <w:sz w:val="32"/>
          <w:szCs w:val="32"/>
          <w:highlight w:val="none"/>
          <w:lang w:val="en-US" w:eastAsia="zh-CN" w:bidi="zh-CN"/>
        </w:rPr>
        <w:t>合同编号：</w:t>
      </w:r>
    </w:p>
    <w:p w14:paraId="1A0653F5">
      <w:pPr>
        <w:keepNext w:val="0"/>
        <w:keepLines w:val="0"/>
        <w:pageBreakBefore w:val="0"/>
        <w:widowControl w:val="0"/>
        <w:kinsoku/>
        <w:wordWrap/>
        <w:overflowPunct/>
        <w:topLinePunct w:val="0"/>
        <w:autoSpaceDE w:val="0"/>
        <w:autoSpaceDN w:val="0"/>
        <w:bidi w:val="0"/>
        <w:adjustRightInd/>
        <w:spacing w:before="10" w:line="600" w:lineRule="exact"/>
        <w:textAlignment w:val="auto"/>
        <w:rPr>
          <w:rFonts w:hint="eastAsia" w:ascii="方正小标宋_GBK" w:hAnsi="方正小标宋_GBK" w:eastAsia="方正小标宋_GBK" w:cs="方正小标宋_GBK"/>
          <w:b w:val="0"/>
          <w:bCs/>
          <w:color w:val="auto"/>
          <w:sz w:val="48"/>
          <w:szCs w:val="48"/>
          <w:highlight w:val="none"/>
          <w:lang w:val="zh-CN" w:eastAsia="zh-CN" w:bidi="zh-CN"/>
        </w:rPr>
      </w:pPr>
    </w:p>
    <w:p w14:paraId="5B9D8CC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lang w:val="zh-CN" w:eastAsia="zh-CN"/>
        </w:rPr>
      </w:pPr>
      <w:r>
        <w:rPr>
          <w:rFonts w:hint="eastAsia" w:ascii="宋体" w:hAnsi="宋体" w:eastAsia="宋体" w:cs="宋体"/>
          <w:b/>
          <w:bCs/>
          <w:color w:val="auto"/>
          <w:sz w:val="44"/>
          <w:szCs w:val="44"/>
          <w:highlight w:val="none"/>
          <w:lang w:val="en-US" w:eastAsia="zh-CN"/>
        </w:rPr>
        <w:t>广西桂西北治旱龙江河谷灌区工程股权投资机制及方案</w:t>
      </w:r>
      <w:r>
        <w:rPr>
          <w:rFonts w:hint="eastAsia" w:ascii="宋体" w:hAnsi="宋体" w:eastAsia="宋体" w:cs="宋体"/>
          <w:b/>
          <w:bCs/>
          <w:strike w:val="0"/>
          <w:color w:val="auto"/>
          <w:sz w:val="44"/>
          <w:szCs w:val="44"/>
          <w:highlight w:val="none"/>
          <w:lang w:val="en-US" w:eastAsia="zh-CN"/>
        </w:rPr>
        <w:t>第三方服务</w:t>
      </w:r>
      <w:r>
        <w:rPr>
          <w:rFonts w:hint="eastAsia" w:ascii="宋体" w:hAnsi="宋体" w:eastAsia="宋体" w:cs="宋体"/>
          <w:b/>
          <w:bCs/>
          <w:color w:val="auto"/>
          <w:sz w:val="44"/>
          <w:szCs w:val="44"/>
          <w:highlight w:val="none"/>
          <w:lang w:val="en-US" w:eastAsia="zh-CN"/>
        </w:rPr>
        <w:t>市场询价</w:t>
      </w:r>
      <w:r>
        <w:rPr>
          <w:rFonts w:hint="eastAsia" w:ascii="宋体" w:hAnsi="宋体" w:cs="宋体"/>
          <w:b/>
          <w:bCs/>
          <w:color w:val="auto"/>
          <w:sz w:val="44"/>
          <w:szCs w:val="44"/>
          <w:highlight w:val="none"/>
          <w:lang w:val="en-US" w:eastAsia="zh-CN"/>
        </w:rPr>
        <w:t>服务</w:t>
      </w:r>
      <w:r>
        <w:rPr>
          <w:rFonts w:hint="eastAsia" w:ascii="宋体" w:hAnsi="宋体" w:eastAsia="宋体" w:cs="宋体"/>
          <w:b/>
          <w:bCs/>
          <w:color w:val="auto"/>
          <w:sz w:val="44"/>
          <w:szCs w:val="44"/>
          <w:highlight w:val="none"/>
          <w:lang w:val="zh-CN" w:eastAsia="zh-CN"/>
        </w:rPr>
        <w:t>合同</w:t>
      </w:r>
    </w:p>
    <w:p w14:paraId="70EE2EEC">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宋体" w:hAnsi="宋体" w:eastAsia="宋体" w:cs="宋体"/>
          <w:b/>
          <w:color w:val="auto"/>
          <w:sz w:val="44"/>
          <w:szCs w:val="44"/>
          <w:highlight w:val="none"/>
          <w:lang w:val="zh-CN" w:bidi="zh-CN"/>
        </w:rPr>
      </w:pPr>
    </w:p>
    <w:p w14:paraId="2070F421">
      <w:pPr>
        <w:keepNext w:val="0"/>
        <w:keepLines w:val="0"/>
        <w:pageBreakBefore w:val="0"/>
        <w:kinsoku/>
        <w:wordWrap/>
        <w:overflowPunct/>
        <w:topLinePunct w:val="0"/>
        <w:autoSpaceDE w:val="0"/>
        <w:autoSpaceDN w:val="0"/>
        <w:bidi w:val="0"/>
        <w:adjustRightInd/>
        <w:spacing w:beforeLines="0" w:afterLines="0" w:line="600" w:lineRule="exact"/>
        <w:jc w:val="left"/>
        <w:textAlignment w:val="auto"/>
        <w:rPr>
          <w:rFonts w:hint="eastAsia" w:ascii="微软雅黑" w:hAnsi="宋体" w:eastAsia="微软雅黑" w:cs="宋体"/>
          <w:b/>
          <w:color w:val="auto"/>
          <w:kern w:val="0"/>
          <w:sz w:val="20"/>
          <w:szCs w:val="22"/>
          <w:highlight w:val="none"/>
          <w:lang w:val="zh-CN" w:bidi="zh-CN"/>
        </w:rPr>
      </w:pPr>
    </w:p>
    <w:p w14:paraId="0BACF60B">
      <w:pPr>
        <w:keepNext w:val="0"/>
        <w:keepLines w:val="0"/>
        <w:pageBreakBefore w:val="0"/>
        <w:tabs>
          <w:tab w:val="center" w:pos="4153"/>
          <w:tab w:val="right" w:pos="8306"/>
        </w:tabs>
        <w:kinsoku/>
        <w:wordWrap/>
        <w:overflowPunct/>
        <w:topLinePunct w:val="0"/>
        <w:autoSpaceDE w:val="0"/>
        <w:autoSpaceDN w:val="0"/>
        <w:bidi w:val="0"/>
        <w:adjustRightInd/>
        <w:snapToGrid w:val="0"/>
        <w:spacing w:beforeLines="0" w:afterLines="0" w:line="600" w:lineRule="exact"/>
        <w:textAlignment w:val="auto"/>
        <w:rPr>
          <w:rFonts w:hint="default" w:ascii="宋体" w:hAnsi="宋体" w:eastAsia="宋体" w:cs="宋体"/>
          <w:color w:val="auto"/>
          <w:sz w:val="18"/>
          <w:szCs w:val="18"/>
          <w:highlight w:val="none"/>
          <w:lang w:val="zh-CN" w:bidi="zh-CN"/>
        </w:rPr>
      </w:pPr>
    </w:p>
    <w:p w14:paraId="2D20270F">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微软雅黑" w:hAnsi="宋体" w:eastAsia="微软雅黑" w:cs="宋体"/>
          <w:b/>
          <w:color w:val="auto"/>
          <w:sz w:val="20"/>
          <w:szCs w:val="24"/>
          <w:highlight w:val="none"/>
          <w:lang w:val="zh-CN" w:bidi="zh-CN"/>
        </w:rPr>
      </w:pPr>
    </w:p>
    <w:p w14:paraId="25599BE4">
      <w:pPr>
        <w:pStyle w:val="13"/>
        <w:keepNext w:val="0"/>
        <w:keepLines w:val="0"/>
        <w:pageBreakBefore w:val="0"/>
        <w:kinsoku/>
        <w:wordWrap/>
        <w:overflowPunct/>
        <w:topLinePunct w:val="0"/>
        <w:bidi w:val="0"/>
        <w:adjustRightInd/>
        <w:spacing w:line="600" w:lineRule="exact"/>
        <w:textAlignment w:val="auto"/>
        <w:rPr>
          <w:rFonts w:hint="eastAsia" w:ascii="微软雅黑" w:hAnsi="宋体" w:eastAsia="微软雅黑" w:cs="宋体"/>
          <w:b/>
          <w:color w:val="auto"/>
          <w:sz w:val="20"/>
          <w:szCs w:val="24"/>
          <w:highlight w:val="none"/>
          <w:lang w:val="zh-CN" w:bidi="zh-CN"/>
        </w:rPr>
      </w:pPr>
    </w:p>
    <w:p w14:paraId="74D13054">
      <w:pPr>
        <w:keepNext w:val="0"/>
        <w:keepLines w:val="0"/>
        <w:pageBreakBefore w:val="0"/>
        <w:kinsoku/>
        <w:wordWrap/>
        <w:overflowPunct/>
        <w:topLinePunct w:val="0"/>
        <w:autoSpaceDE w:val="0"/>
        <w:autoSpaceDN w:val="0"/>
        <w:bidi w:val="0"/>
        <w:adjustRightInd/>
        <w:spacing w:beforeLines="0" w:afterLines="0" w:line="600" w:lineRule="exact"/>
        <w:jc w:val="left"/>
        <w:textAlignment w:val="auto"/>
        <w:rPr>
          <w:rFonts w:hint="eastAsia" w:ascii="微软雅黑" w:hAnsi="宋体" w:eastAsia="微软雅黑" w:cs="宋体"/>
          <w:b/>
          <w:color w:val="auto"/>
          <w:kern w:val="0"/>
          <w:sz w:val="20"/>
          <w:szCs w:val="22"/>
          <w:highlight w:val="none"/>
          <w:lang w:val="zh-CN" w:bidi="zh-CN"/>
        </w:rPr>
      </w:pPr>
    </w:p>
    <w:p w14:paraId="29E6807E">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微软雅黑" w:hAnsi="宋体" w:eastAsia="微软雅黑" w:cs="宋体"/>
          <w:b/>
          <w:color w:val="auto"/>
          <w:sz w:val="20"/>
          <w:szCs w:val="24"/>
          <w:highlight w:val="none"/>
          <w:lang w:val="zh-CN" w:bidi="zh-CN"/>
        </w:rPr>
      </w:pPr>
    </w:p>
    <w:p w14:paraId="001F5D2E">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lang w:val="zh-CN" w:bidi="zh-CN"/>
        </w:rPr>
      </w:pPr>
    </w:p>
    <w:p w14:paraId="7C8B0033">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lang w:val="zh-CN" w:bidi="zh-CN"/>
        </w:rPr>
      </w:pPr>
    </w:p>
    <w:p w14:paraId="65010029">
      <w:pPr>
        <w:pStyle w:val="9"/>
        <w:keepNext w:val="0"/>
        <w:keepLines w:val="0"/>
        <w:pageBreakBefore w:val="0"/>
        <w:widowControl/>
        <w:kinsoku/>
        <w:wordWrap/>
        <w:overflowPunct/>
        <w:topLinePunct w:val="0"/>
        <w:autoSpaceDE/>
        <w:autoSpaceDN/>
        <w:bidi w:val="0"/>
        <w:adjustRightInd/>
        <w:snapToGrid/>
        <w:spacing w:line="560" w:lineRule="exact"/>
        <w:ind w:left="1959" w:leftChars="266" w:hanging="1400" w:hangingChars="500"/>
        <w:textAlignment w:val="auto"/>
        <w:rPr>
          <w:rFonts w:hint="eastAsia" w:ascii="宋体" w:hAnsi="宋体" w:eastAsia="宋体" w:cs="宋体"/>
          <w:color w:val="auto"/>
          <w:sz w:val="28"/>
          <w:szCs w:val="28"/>
          <w:highlight w:val="none"/>
          <w:u w:val="single"/>
          <w:lang w:val="zh-CN" w:eastAsia="zh-CN"/>
        </w:rPr>
      </w:pPr>
      <w:r>
        <w:rPr>
          <w:rFonts w:hint="eastAsia" w:ascii="宋体" w:hAnsi="宋体" w:eastAsia="宋体" w:cs="宋体"/>
          <w:color w:val="auto"/>
          <w:kern w:val="0"/>
          <w:sz w:val="28"/>
          <w:szCs w:val="28"/>
          <w:highlight w:val="none"/>
          <w:lang w:val="zh-CN" w:bidi="zh-CN"/>
        </w:rPr>
        <w:t>工程名称：</w:t>
      </w:r>
      <w:r>
        <w:rPr>
          <w:rFonts w:hint="eastAsia" w:ascii="宋体" w:hAnsi="宋体" w:eastAsia="宋体" w:cs="宋体"/>
          <w:color w:val="auto"/>
          <w:sz w:val="28"/>
          <w:szCs w:val="28"/>
          <w:highlight w:val="none"/>
          <w:u w:val="single"/>
          <w:lang w:val="zh-CN" w:eastAsia="zh-CN"/>
        </w:rPr>
        <w:t>广西桂西北治旱龙江河谷灌区工程</w:t>
      </w:r>
      <w:r>
        <w:rPr>
          <w:rFonts w:hint="eastAsia" w:ascii="宋体" w:hAnsi="宋体" w:eastAsia="宋体" w:cs="宋体"/>
          <w:color w:val="auto"/>
          <w:sz w:val="28"/>
          <w:szCs w:val="28"/>
          <w:highlight w:val="none"/>
          <w:u w:val="single"/>
          <w:lang w:val="en-US" w:eastAsia="zh-CN"/>
        </w:rPr>
        <w:t>股权投资机制及方案第三方服务市场询价</w:t>
      </w:r>
    </w:p>
    <w:p w14:paraId="29EF56B4">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auto"/>
          <w:kern w:val="0"/>
          <w:sz w:val="28"/>
          <w:szCs w:val="28"/>
          <w:highlight w:val="none"/>
          <w:lang w:val="zh-CN" w:bidi="zh-CN"/>
        </w:rPr>
        <w:t>委 托 人：</w:t>
      </w:r>
      <w:r>
        <w:rPr>
          <w:rFonts w:hint="eastAsia" w:ascii="宋体" w:hAnsi="宋体" w:eastAsia="宋体" w:cs="宋体"/>
          <w:color w:val="auto"/>
          <w:kern w:val="0"/>
          <w:sz w:val="28"/>
          <w:szCs w:val="28"/>
          <w:highlight w:val="none"/>
          <w:u w:val="single"/>
          <w:lang w:val="en-US" w:eastAsia="zh-CN" w:bidi="zh-CN"/>
        </w:rPr>
        <w:t>河池市生态及资源投资开发有限公司</w:t>
      </w:r>
    </w:p>
    <w:p w14:paraId="73D9A790">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default" w:ascii="宋体" w:hAnsi="宋体" w:eastAsia="宋体" w:cs="宋体"/>
          <w:color w:val="auto"/>
          <w:kern w:val="0"/>
          <w:sz w:val="28"/>
          <w:szCs w:val="28"/>
          <w:highlight w:val="none"/>
          <w:u w:val="single"/>
          <w:lang w:val="en-US" w:bidi="zh-CN"/>
        </w:rPr>
      </w:pPr>
      <w:r>
        <w:rPr>
          <w:rFonts w:hint="eastAsia" w:ascii="宋体" w:hAnsi="宋体" w:eastAsia="宋体" w:cs="宋体"/>
          <w:color w:val="auto"/>
          <w:kern w:val="0"/>
          <w:sz w:val="28"/>
          <w:szCs w:val="28"/>
          <w:highlight w:val="none"/>
          <w:lang w:val="zh-CN" w:bidi="zh-CN"/>
        </w:rPr>
        <w:t>咨 询 人：</w:t>
      </w:r>
      <w:r>
        <w:rPr>
          <w:rFonts w:hint="eastAsia" w:ascii="Arial" w:hAnsi="Arial" w:eastAsia="宋体" w:cs="Arial"/>
          <w:i w:val="0"/>
          <w:iCs w:val="0"/>
          <w:caps w:val="0"/>
          <w:color w:val="000000"/>
          <w:spacing w:val="0"/>
          <w:sz w:val="28"/>
          <w:szCs w:val="28"/>
          <w:u w:val="single"/>
          <w:shd w:val="clear" w:fill="FFFFFF"/>
          <w:lang w:val="en-US" w:eastAsia="zh-CN"/>
        </w:rPr>
        <w:t xml:space="preserve"> </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cs="宋体"/>
          <w:color w:val="auto"/>
          <w:kern w:val="0"/>
          <w:sz w:val="28"/>
          <w:szCs w:val="28"/>
          <w:highlight w:val="none"/>
          <w:u w:val="single"/>
          <w:lang w:val="en-US" w:bidi="zh-CN"/>
        </w:rPr>
        <w:t xml:space="preserve">                              </w:t>
      </w:r>
    </w:p>
    <w:p w14:paraId="5418E10F">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sz w:val="28"/>
          <w:szCs w:val="28"/>
          <w:lang w:val="en-US"/>
        </w:rPr>
      </w:pPr>
      <w:r>
        <w:rPr>
          <w:rFonts w:hint="eastAsia" w:ascii="宋体" w:hAnsi="宋体" w:eastAsia="宋体" w:cs="宋体"/>
          <w:color w:val="auto"/>
          <w:kern w:val="0"/>
          <w:sz w:val="28"/>
          <w:szCs w:val="28"/>
          <w:highlight w:val="none"/>
          <w:lang w:val="zh-CN" w:bidi="zh-CN"/>
        </w:rPr>
        <w:t>建设地点：</w:t>
      </w:r>
      <w:r>
        <w:rPr>
          <w:rFonts w:hint="eastAsia" w:ascii="宋体" w:hAnsi="宋体" w:eastAsia="宋体" w:cs="宋体"/>
          <w:color w:val="auto"/>
          <w:kern w:val="0"/>
          <w:sz w:val="28"/>
          <w:szCs w:val="28"/>
          <w:highlight w:val="none"/>
          <w:u w:val="single"/>
          <w:lang w:val="en-US" w:bidi="zh-CN"/>
        </w:rPr>
        <w:t xml:space="preserve">河池市                          </w:t>
      </w:r>
    </w:p>
    <w:p w14:paraId="24C302B5">
      <w:pPr>
        <w:keepNext w:val="0"/>
        <w:keepLines w:val="0"/>
        <w:pageBreakBefore w:val="0"/>
        <w:widowControl w:val="0"/>
        <w:tabs>
          <w:tab w:val="center" w:pos="4153"/>
          <w:tab w:val="right" w:pos="8306"/>
        </w:tabs>
        <w:kinsoku/>
        <w:wordWrap/>
        <w:overflowPunct/>
        <w:topLinePunct w:val="0"/>
        <w:bidi w:val="0"/>
        <w:adjustRightInd/>
        <w:snapToGrid w:val="0"/>
        <w:spacing w:line="600" w:lineRule="exact"/>
        <w:ind w:firstLine="280" w:firstLineChars="100"/>
        <w:jc w:val="both"/>
        <w:textAlignment w:val="auto"/>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签订日期：</w:t>
      </w:r>
      <w:r>
        <w:rPr>
          <w:rFonts w:hint="eastAsia" w:ascii="宋体" w:hAnsi="宋体" w:eastAsia="宋体" w:cs="宋体"/>
          <w:color w:val="auto"/>
          <w:kern w:val="2"/>
          <w:sz w:val="28"/>
          <w:szCs w:val="28"/>
          <w:highlight w:val="none"/>
          <w:u w:val="single"/>
          <w:lang w:val="en-US" w:eastAsia="zh-CN" w:bidi="ar-SA"/>
        </w:rPr>
        <w:t>2025</w:t>
      </w:r>
      <w:r>
        <w:rPr>
          <w:rFonts w:hint="eastAsia" w:ascii="宋体" w:hAnsi="宋体" w:eastAsia="宋体" w:cs="宋体"/>
          <w:color w:val="auto"/>
          <w:kern w:val="2"/>
          <w:sz w:val="28"/>
          <w:szCs w:val="28"/>
          <w:highlight w:val="none"/>
          <w:lang w:val="en-US" w:eastAsia="zh-CN" w:bidi="ar-SA"/>
        </w:rPr>
        <w:t>年</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月</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787A8DF3">
      <w:pPr>
        <w:keepNext w:val="0"/>
        <w:keepLines w:val="0"/>
        <w:pageBreakBefore w:val="0"/>
        <w:kinsoku/>
        <w:wordWrap/>
        <w:overflowPunct/>
        <w:topLinePunct w:val="0"/>
        <w:bidi w:val="0"/>
        <w:adjustRightInd/>
        <w:spacing w:line="600" w:lineRule="exact"/>
        <w:ind w:firstLine="3812" w:firstLineChars="1356"/>
        <w:jc w:val="left"/>
        <w:textAlignment w:val="auto"/>
        <w:rPr>
          <w:rFonts w:hint="eastAsia" w:ascii="宋体" w:hAnsi="宋体" w:eastAsia="宋体" w:cs="宋体"/>
          <w:b/>
          <w:color w:val="auto"/>
          <w:sz w:val="28"/>
          <w:szCs w:val="28"/>
          <w:highlight w:val="none"/>
        </w:rPr>
      </w:pPr>
    </w:p>
    <w:p w14:paraId="1275D909">
      <w:pPr>
        <w:keepNext w:val="0"/>
        <w:keepLines w:val="0"/>
        <w:pageBreakBefore w:val="0"/>
        <w:tabs>
          <w:tab w:val="center" w:pos="4153"/>
          <w:tab w:val="right" w:pos="8306"/>
        </w:tabs>
        <w:kinsoku/>
        <w:wordWrap/>
        <w:overflowPunct/>
        <w:topLinePunct w:val="0"/>
        <w:bidi w:val="0"/>
        <w:adjustRightInd/>
        <w:spacing w:line="600" w:lineRule="exact"/>
        <w:textAlignment w:val="auto"/>
        <w:rPr>
          <w:rFonts w:hint="eastAsia" w:ascii="宋体" w:hAnsi="宋体" w:eastAsia="宋体" w:cs="宋体"/>
          <w:b/>
          <w:color w:val="auto"/>
          <w:sz w:val="28"/>
          <w:szCs w:val="28"/>
          <w:highlight w:val="none"/>
        </w:rPr>
        <w:sectPr>
          <w:footerReference r:id="rId4" w:type="first"/>
          <w:footerReference r:id="rId3" w:type="default"/>
          <w:pgSz w:w="11906" w:h="16838"/>
          <w:pgMar w:top="2098" w:right="1474" w:bottom="1440" w:left="1587" w:header="964" w:footer="964" w:gutter="0"/>
          <w:pgNumType w:fmt="decimal" w:start="1"/>
          <w:cols w:space="720" w:num="1"/>
          <w:docGrid w:type="lines" w:linePitch="312" w:charSpace="0"/>
        </w:sectPr>
      </w:pPr>
    </w:p>
    <w:p w14:paraId="362B7F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广西桂西北治旱龙江河谷灌区工程股权投资机制及方案第三方服务市场询价</w:t>
      </w:r>
      <w:r>
        <w:rPr>
          <w:rFonts w:hint="eastAsia" w:ascii="宋体" w:hAnsi="宋体" w:cs="宋体"/>
          <w:color w:val="auto"/>
          <w:sz w:val="36"/>
          <w:szCs w:val="36"/>
          <w:highlight w:val="none"/>
          <w:lang w:val="en-US" w:eastAsia="zh-CN"/>
        </w:rPr>
        <w:t>服务</w:t>
      </w:r>
      <w:r>
        <w:rPr>
          <w:rFonts w:hint="eastAsia" w:ascii="宋体" w:hAnsi="宋体" w:eastAsia="宋体" w:cs="宋体"/>
          <w:color w:val="auto"/>
          <w:sz w:val="36"/>
          <w:szCs w:val="36"/>
          <w:highlight w:val="none"/>
          <w:lang w:val="en-US" w:eastAsia="zh-CN"/>
        </w:rPr>
        <w:t>协议书</w:t>
      </w:r>
    </w:p>
    <w:p w14:paraId="41A9B3C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rPr>
      </w:pPr>
    </w:p>
    <w:p w14:paraId="4A1A300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（全称）：</w:t>
      </w:r>
      <w:r>
        <w:rPr>
          <w:rFonts w:hint="eastAsia" w:ascii="宋体" w:hAnsi="宋体" w:eastAsia="宋体" w:cs="宋体"/>
          <w:color w:val="auto"/>
          <w:sz w:val="28"/>
          <w:szCs w:val="28"/>
          <w:highlight w:val="none"/>
          <w:u w:val="single"/>
          <w:lang w:val="en-US" w:eastAsia="zh-CN"/>
        </w:rPr>
        <w:t>河池市生态及资源投资开发有限公司</w:t>
      </w:r>
    </w:p>
    <w:p w14:paraId="259C24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rPr>
        <w:t>（全称）：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14:paraId="25374EA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根据《中华人民共和国民法典》及其他有关法律、法规，遵循平等、自愿、公平和诚实信用的原则，双方就</w:t>
      </w:r>
      <w:r>
        <w:rPr>
          <w:rFonts w:hint="eastAsia" w:ascii="宋体" w:hAnsi="宋体" w:eastAsia="宋体" w:cs="宋体"/>
          <w:color w:val="auto"/>
          <w:sz w:val="28"/>
          <w:szCs w:val="28"/>
          <w:highlight w:val="none"/>
          <w:u w:val="single"/>
          <w:lang w:val="zh-CN" w:eastAsia="zh-CN"/>
        </w:rPr>
        <w:t>广西桂西北治旱龙江河谷灌区工程</w:t>
      </w:r>
      <w:r>
        <w:rPr>
          <w:rFonts w:hint="eastAsia" w:ascii="宋体" w:hAnsi="宋体" w:eastAsia="宋体" w:cs="宋体"/>
          <w:color w:val="auto"/>
          <w:sz w:val="28"/>
          <w:szCs w:val="28"/>
          <w:highlight w:val="none"/>
          <w:u w:val="single"/>
          <w:lang w:val="en-US" w:eastAsia="zh-CN"/>
        </w:rPr>
        <w:t>股权投资机制及方案第三方服务市场询价</w:t>
      </w:r>
      <w:r>
        <w:rPr>
          <w:rFonts w:hint="eastAsia" w:ascii="宋体" w:hAnsi="宋体" w:eastAsia="宋体" w:cs="宋体"/>
          <w:color w:val="auto"/>
          <w:sz w:val="28"/>
          <w:szCs w:val="28"/>
          <w:highlight w:val="none"/>
        </w:rPr>
        <w:t>事项协商一致，订立本合同。</w:t>
      </w:r>
    </w:p>
    <w:p w14:paraId="6B0C2CC5">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一、工程概况</w:t>
      </w:r>
    </w:p>
    <w:p w14:paraId="29CA34F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1.工程名称：</w:t>
      </w:r>
      <w:r>
        <w:rPr>
          <w:rFonts w:hint="eastAsia" w:ascii="宋体" w:hAnsi="宋体" w:eastAsia="宋体" w:cs="宋体"/>
          <w:color w:val="auto"/>
          <w:sz w:val="28"/>
          <w:szCs w:val="28"/>
          <w:highlight w:val="none"/>
          <w:u w:val="single"/>
          <w:lang w:val="zh-CN" w:eastAsia="zh-CN"/>
        </w:rPr>
        <w:t>广西桂西北治旱龙江河谷灌区股权投资机制及方案第三方服务市场询价</w:t>
      </w:r>
    </w:p>
    <w:p w14:paraId="66EA443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建设地点：</w:t>
      </w:r>
      <w:r>
        <w:rPr>
          <w:rFonts w:hint="eastAsia" w:ascii="宋体" w:hAnsi="宋体" w:eastAsia="宋体" w:cs="宋体"/>
          <w:color w:val="auto"/>
          <w:sz w:val="28"/>
          <w:szCs w:val="28"/>
          <w:highlight w:val="none"/>
          <w:u w:val="single"/>
          <w:lang w:eastAsia="zh-CN"/>
        </w:rPr>
        <w:t>河池市</w:t>
      </w:r>
    </w:p>
    <w:p w14:paraId="1A61F7C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建设内容：</w:t>
      </w:r>
      <w:r>
        <w:rPr>
          <w:rFonts w:hint="eastAsia" w:ascii="宋体" w:hAnsi="宋体" w:eastAsia="宋体" w:cs="宋体"/>
          <w:color w:val="auto"/>
          <w:sz w:val="28"/>
          <w:szCs w:val="28"/>
          <w:highlight w:val="none"/>
          <w:lang w:val="en-US" w:eastAsia="zh-CN"/>
        </w:rPr>
        <w:t>龙江河谷灌区工程开发任务为农业灌溉及城乡供水，保障区域经济社会用水安全，为保障区域粮食生产安全、巩固扶贫攻坚成果、实现乡村振兴创造条件。龙江河谷灌区位于广西著名的桂西北旱片，属云贵高原与广西丘陵交接的斜坡地带，灌区地貌类型主要为岩溶地貌，局部为非岩溶地貌，岩溶发育等级为岩溶强烈发育，范围涉及河池市宜州区、金城江区、环江县、罗城县、南丹县共5县（区）29个乡镇，工程设计灌溉面积约为100.4万亩，属大（2）型灌区，工程等别为Ⅱ等。</w:t>
      </w:r>
      <w:r>
        <w:rPr>
          <w:rFonts w:hint="eastAsia" w:ascii="宋体" w:hAnsi="宋体" w:cs="宋体"/>
          <w:color w:val="auto"/>
          <w:sz w:val="28"/>
          <w:szCs w:val="28"/>
          <w:highlight w:val="none"/>
          <w:lang w:val="en-US" w:eastAsia="zh-CN"/>
        </w:rPr>
        <w:t>项目总投资约100亿元。</w:t>
      </w:r>
    </w:p>
    <w:p w14:paraId="2DEA88B7">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二、服务范围及工作内容</w:t>
      </w:r>
    </w:p>
    <w:p w14:paraId="6219562A">
      <w:pPr>
        <w:ind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u w:val="single"/>
          <w:lang w:val="zh-CN" w:eastAsia="zh-CN"/>
        </w:rPr>
        <w:t>广西桂西北治旱龙江河谷灌区工程</w:t>
      </w:r>
      <w:r>
        <w:rPr>
          <w:rFonts w:hint="eastAsia" w:ascii="宋体" w:hAnsi="宋体" w:eastAsia="宋体" w:cs="宋体"/>
          <w:color w:val="auto"/>
          <w:sz w:val="28"/>
          <w:szCs w:val="28"/>
          <w:highlight w:val="none"/>
          <w:u w:val="single"/>
          <w:lang w:val="en-US" w:eastAsia="zh-CN"/>
        </w:rPr>
        <w:t>股权投资机制及方案第三方服务</w:t>
      </w:r>
      <w:r>
        <w:rPr>
          <w:rFonts w:hint="eastAsia" w:ascii="宋体" w:hAnsi="宋体" w:cs="宋体"/>
          <w:color w:val="auto"/>
          <w:sz w:val="28"/>
          <w:szCs w:val="28"/>
          <w:highlight w:val="none"/>
          <w:u w:val="single"/>
          <w:lang w:val="en-US" w:eastAsia="zh-CN"/>
        </w:rPr>
        <w:t>的</w:t>
      </w:r>
      <w:r>
        <w:rPr>
          <w:rFonts w:hint="eastAsia" w:ascii="宋体" w:hAnsi="宋体" w:eastAsia="宋体" w:cs="宋体"/>
          <w:color w:val="auto"/>
          <w:sz w:val="28"/>
          <w:szCs w:val="28"/>
          <w:highlight w:val="none"/>
        </w:rPr>
        <w:t>服务范围</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u w:val="none"/>
          <w:lang w:val="en-US" w:eastAsia="zh-CN"/>
        </w:rPr>
        <w:t>主要内容包括：（</w:t>
      </w:r>
      <w:r>
        <w:rPr>
          <w:rFonts w:hint="eastAsia" w:ascii="宋体" w:hAnsi="宋体" w:eastAsia="宋体" w:cs="宋体"/>
          <w:color w:val="auto"/>
          <w:sz w:val="28"/>
          <w:szCs w:val="28"/>
          <w:lang w:eastAsia="zh-CN"/>
        </w:rPr>
        <w:t>一</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招标文件条款设计，即“骨干工程”招标文件中有关招标内容的设计</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二</w:t>
      </w:r>
      <w:r>
        <w:rPr>
          <w:rFonts w:hint="eastAsia" w:ascii="宋体" w:hAnsi="宋体" w:cs="宋体"/>
          <w:color w:val="auto"/>
          <w:sz w:val="28"/>
          <w:szCs w:val="28"/>
          <w:lang w:eastAsia="zh-CN"/>
        </w:rPr>
        <w:t>）</w:t>
      </w:r>
      <w:r>
        <w:rPr>
          <w:rFonts w:hint="eastAsia" w:ascii="宋体" w:hAnsi="宋体" w:eastAsia="宋体" w:cs="宋体"/>
          <w:b w:val="0"/>
          <w:bCs w:val="0"/>
          <w:color w:val="auto"/>
          <w:sz w:val="28"/>
          <w:szCs w:val="28"/>
          <w:u w:val="none"/>
          <w:lang w:eastAsia="zh-CN"/>
        </w:rPr>
        <w:t>投资公司股权架构设计及股东合作运营机制设计，即“配套工程”投资公司股权架构、出资比例设置、股权流转、股东权责机制等</w:t>
      </w:r>
      <w:r>
        <w:rPr>
          <w:rFonts w:hint="eastAsia" w:ascii="宋体" w:hAnsi="宋体" w:cs="宋体"/>
          <w:b w:val="0"/>
          <w:bCs w:val="0"/>
          <w:color w:val="auto"/>
          <w:sz w:val="28"/>
          <w:szCs w:val="28"/>
          <w:lang w:eastAsia="zh-CN"/>
        </w:rPr>
        <w:t>；</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三</w:t>
      </w:r>
      <w:r>
        <w:rPr>
          <w:rFonts w:hint="eastAsia" w:ascii="宋体" w:hAnsi="宋体" w:cs="宋体"/>
          <w:color w:val="auto"/>
          <w:sz w:val="28"/>
          <w:szCs w:val="28"/>
          <w:lang w:eastAsia="zh-CN"/>
        </w:rPr>
        <w:t>）</w:t>
      </w:r>
      <w:r>
        <w:rPr>
          <w:rFonts w:hint="eastAsia" w:ascii="宋体" w:hAnsi="宋体" w:eastAsia="宋体" w:cs="宋体"/>
          <w:b w:val="0"/>
          <w:bCs w:val="0"/>
          <w:color w:val="auto"/>
          <w:sz w:val="28"/>
          <w:szCs w:val="28"/>
          <w:u w:val="none"/>
          <w:lang w:eastAsia="zh-CN"/>
        </w:rPr>
        <w:t>运营公司运营考核方案设计及评价，即在</w:t>
      </w:r>
      <w:r>
        <w:rPr>
          <w:rFonts w:hint="eastAsia" w:ascii="宋体" w:hAnsi="宋体" w:cs="宋体"/>
          <w:b w:val="0"/>
          <w:bCs w:val="0"/>
          <w:color w:val="auto"/>
          <w:sz w:val="28"/>
          <w:szCs w:val="28"/>
          <w:u w:val="none"/>
          <w:lang w:val="en-US" w:eastAsia="zh-CN"/>
        </w:rPr>
        <w:t>骨干工程采取</w:t>
      </w:r>
      <w:r>
        <w:rPr>
          <w:rFonts w:hint="eastAsia" w:ascii="宋体" w:hAnsi="宋体" w:eastAsia="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EPC</w:t>
      </w:r>
      <w:r>
        <w:rPr>
          <w:rFonts w:hint="eastAsia" w:ascii="宋体" w:hAnsi="宋体" w:eastAsia="宋体" w:cs="宋体"/>
          <w:b w:val="0"/>
          <w:bCs w:val="0"/>
          <w:color w:val="auto"/>
          <w:sz w:val="28"/>
          <w:szCs w:val="28"/>
          <w:u w:val="none"/>
          <w:lang w:eastAsia="zh-CN"/>
        </w:rPr>
        <w:t>+O”模式下，运营公司成本测算模型、运营收益及绩效考核方案制定及评价</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四</w:t>
      </w:r>
      <w:r>
        <w:rPr>
          <w:rFonts w:hint="eastAsia" w:ascii="宋体" w:hAnsi="宋体" w:cs="宋体"/>
          <w:b w:val="0"/>
          <w:bCs w:val="0"/>
          <w:color w:val="auto"/>
          <w:sz w:val="28"/>
          <w:szCs w:val="28"/>
          <w:u w:val="none"/>
          <w:lang w:eastAsia="zh-CN"/>
        </w:rPr>
        <w:t>）制定招商引资条件及编制方案，协助引入灌区配套工程建设及运营管理企业。</w:t>
      </w:r>
    </w:p>
    <w:p w14:paraId="2C30068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市场询价的主要</w:t>
      </w:r>
      <w:r>
        <w:rPr>
          <w:rFonts w:hint="eastAsia" w:ascii="宋体" w:hAnsi="宋体" w:eastAsia="宋体" w:cs="宋体"/>
          <w:color w:val="auto"/>
          <w:sz w:val="28"/>
          <w:szCs w:val="28"/>
          <w:highlight w:val="none"/>
        </w:rPr>
        <w:t>工作内容：</w:t>
      </w:r>
      <w:r>
        <w:rPr>
          <w:rFonts w:hint="eastAsia" w:ascii="宋体" w:hAnsi="宋体" w:cs="宋体"/>
          <w:color w:val="auto"/>
          <w:sz w:val="28"/>
          <w:szCs w:val="28"/>
          <w:highlight w:val="none"/>
          <w:lang w:val="en-US" w:eastAsia="zh-CN"/>
        </w:rPr>
        <w:t>针对</w:t>
      </w:r>
      <w:r>
        <w:rPr>
          <w:rFonts w:hint="eastAsia" w:ascii="宋体" w:hAnsi="宋体" w:eastAsia="宋体" w:cs="宋体"/>
          <w:color w:val="auto"/>
          <w:sz w:val="28"/>
          <w:szCs w:val="28"/>
          <w:highlight w:val="none"/>
          <w:u w:val="single"/>
          <w:lang w:val="en-US" w:eastAsia="zh-CN"/>
        </w:rPr>
        <w:t>股权投资机制及方案第三方服务</w:t>
      </w:r>
      <w:r>
        <w:rPr>
          <w:rFonts w:hint="eastAsia" w:ascii="宋体" w:hAnsi="宋体" w:cs="宋体"/>
          <w:color w:val="auto"/>
          <w:sz w:val="28"/>
          <w:szCs w:val="28"/>
          <w:highlight w:val="none"/>
          <w:u w:val="single"/>
          <w:lang w:val="en-US" w:eastAsia="zh-CN"/>
        </w:rPr>
        <w:t>的服务范围</w:t>
      </w:r>
      <w:r>
        <w:rPr>
          <w:rFonts w:hint="eastAsia" w:ascii="宋体" w:hAnsi="宋体" w:eastAsia="宋体" w:cs="宋体"/>
          <w:color w:val="auto"/>
          <w:sz w:val="28"/>
          <w:szCs w:val="28"/>
          <w:lang w:val="en-US" w:eastAsia="zh-CN"/>
        </w:rPr>
        <w:t>开展</w:t>
      </w:r>
      <w:r>
        <w:rPr>
          <w:rFonts w:hint="eastAsia" w:ascii="宋体" w:hAnsi="宋体" w:cs="宋体"/>
          <w:strike w:val="0"/>
          <w:color w:val="auto"/>
          <w:sz w:val="28"/>
          <w:szCs w:val="28"/>
          <w:lang w:val="en-US" w:eastAsia="zh-CN"/>
        </w:rPr>
        <w:t>市场询价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包</w:t>
      </w:r>
      <w:r>
        <w:rPr>
          <w:rFonts w:hint="eastAsia" w:ascii="宋体" w:hAnsi="宋体" w:eastAsia="宋体" w:cs="宋体"/>
          <w:strike w:val="0"/>
          <w:color w:val="auto"/>
          <w:sz w:val="28"/>
          <w:szCs w:val="28"/>
          <w:lang w:val="en-US" w:eastAsia="zh-CN"/>
        </w:rPr>
        <w:t>括</w:t>
      </w:r>
      <w:r>
        <w:rPr>
          <w:rFonts w:hint="eastAsia" w:ascii="宋体" w:hAnsi="宋体" w:eastAsia="宋体" w:cs="宋体"/>
          <w:color w:val="auto"/>
          <w:sz w:val="28"/>
          <w:szCs w:val="28"/>
          <w:lang w:eastAsia="zh-CN"/>
        </w:rPr>
        <w:t>采购预算咨询（</w:t>
      </w:r>
      <w:r>
        <w:rPr>
          <w:rFonts w:hint="eastAsia" w:ascii="宋体" w:hAnsi="宋体" w:eastAsia="宋体" w:cs="宋体"/>
          <w:color w:val="auto"/>
          <w:sz w:val="28"/>
          <w:szCs w:val="28"/>
          <w:lang w:val="en-US" w:eastAsia="zh-CN"/>
        </w:rPr>
        <w:t>有计费依据的按照相关依据计算，</w:t>
      </w:r>
      <w:r>
        <w:rPr>
          <w:rFonts w:hint="eastAsia" w:ascii="宋体" w:hAnsi="宋体" w:cs="宋体"/>
          <w:color w:val="auto"/>
          <w:sz w:val="28"/>
          <w:szCs w:val="28"/>
          <w:lang w:val="en-US" w:eastAsia="zh-CN"/>
        </w:rPr>
        <w:t>无</w:t>
      </w:r>
      <w:r>
        <w:rPr>
          <w:rFonts w:hint="eastAsia" w:ascii="宋体" w:hAnsi="宋体" w:eastAsia="宋体" w:cs="宋体"/>
          <w:color w:val="auto"/>
          <w:sz w:val="28"/>
          <w:szCs w:val="28"/>
          <w:lang w:val="en-US" w:eastAsia="zh-CN"/>
        </w:rPr>
        <w:t>计费依据的需向有</w:t>
      </w:r>
      <w:r>
        <w:rPr>
          <w:rFonts w:hint="eastAsia" w:ascii="宋体" w:hAnsi="宋体" w:cs="宋体"/>
          <w:color w:val="auto"/>
          <w:sz w:val="28"/>
          <w:szCs w:val="28"/>
          <w:lang w:val="en-US" w:eastAsia="zh-CN"/>
        </w:rPr>
        <w:t>能力并有资质</w:t>
      </w:r>
      <w:r>
        <w:rPr>
          <w:rFonts w:hint="eastAsia" w:ascii="宋体" w:hAnsi="宋体" w:eastAsia="宋体" w:cs="宋体"/>
          <w:color w:val="auto"/>
          <w:sz w:val="28"/>
          <w:szCs w:val="28"/>
          <w:lang w:val="en-US" w:eastAsia="zh-CN"/>
        </w:rPr>
        <w:t>提供相关服务单位进行咨询，</w:t>
      </w:r>
      <w:r>
        <w:rPr>
          <w:rFonts w:hint="eastAsia" w:ascii="宋体" w:hAnsi="宋体" w:cs="宋体"/>
          <w:color w:val="auto"/>
          <w:sz w:val="28"/>
          <w:szCs w:val="28"/>
          <w:lang w:val="en-US" w:eastAsia="zh-CN"/>
        </w:rPr>
        <w:t>合格的</w:t>
      </w:r>
      <w:r>
        <w:rPr>
          <w:rFonts w:hint="eastAsia" w:ascii="宋体" w:hAnsi="宋体" w:eastAsia="宋体" w:cs="宋体"/>
          <w:color w:val="auto"/>
          <w:sz w:val="28"/>
          <w:szCs w:val="28"/>
          <w:lang w:val="en-US" w:eastAsia="zh-CN"/>
        </w:rPr>
        <w:t>咨询对象不少于三家</w:t>
      </w:r>
      <w:r>
        <w:rPr>
          <w:rFonts w:hint="eastAsia" w:ascii="宋体" w:hAnsi="宋体" w:eastAsia="宋体" w:cs="宋体"/>
          <w:color w:val="auto"/>
          <w:sz w:val="28"/>
          <w:szCs w:val="28"/>
          <w:lang w:eastAsia="zh-CN"/>
        </w:rPr>
        <w:t>），出具第三方</w:t>
      </w:r>
      <w:r>
        <w:rPr>
          <w:rFonts w:hint="eastAsia" w:ascii="宋体" w:hAnsi="宋体" w:cs="宋体"/>
          <w:strike w:val="0"/>
          <w:color w:val="auto"/>
          <w:sz w:val="28"/>
          <w:szCs w:val="28"/>
          <w:highlight w:val="none"/>
          <w:lang w:val="en-US" w:eastAsia="zh-CN"/>
        </w:rPr>
        <w:t>市场询价报告</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lang w:eastAsia="zh-CN"/>
        </w:rPr>
        <w:t>并按规定送</w:t>
      </w:r>
      <w:r>
        <w:rPr>
          <w:rFonts w:hint="eastAsia" w:ascii="宋体" w:hAnsi="宋体" w:cs="宋体"/>
          <w:color w:val="auto"/>
          <w:sz w:val="28"/>
          <w:szCs w:val="28"/>
          <w:lang w:val="en-US" w:eastAsia="zh-CN"/>
        </w:rPr>
        <w:t>委托方</w:t>
      </w:r>
      <w:r>
        <w:rPr>
          <w:rFonts w:hint="eastAsia" w:ascii="宋体" w:hAnsi="宋体" w:eastAsia="宋体" w:cs="宋体"/>
          <w:color w:val="auto"/>
          <w:sz w:val="28"/>
          <w:szCs w:val="28"/>
        </w:rPr>
        <w:t>审定</w:t>
      </w:r>
      <w:r>
        <w:rPr>
          <w:rFonts w:hint="eastAsia" w:ascii="宋体" w:hAnsi="宋体" w:eastAsia="宋体" w:cs="宋体"/>
          <w:color w:val="auto"/>
          <w:sz w:val="28"/>
          <w:szCs w:val="28"/>
          <w:highlight w:val="none"/>
        </w:rPr>
        <w:t>。</w:t>
      </w:r>
    </w:p>
    <w:p w14:paraId="0E79937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服务期限：</w:t>
      </w:r>
      <w:r>
        <w:rPr>
          <w:rFonts w:hint="eastAsia" w:ascii="宋体" w:hAnsi="宋体" w:eastAsia="宋体" w:cs="宋体"/>
          <w:color w:val="auto"/>
          <w:sz w:val="28"/>
          <w:szCs w:val="28"/>
          <w:highlight w:val="none"/>
          <w:u w:val="single"/>
          <w:lang w:val="en-US" w:eastAsia="zh-CN"/>
        </w:rPr>
        <w:t>合同签订后</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个工作日内完</w:t>
      </w:r>
      <w:r>
        <w:rPr>
          <w:rFonts w:hint="eastAsia" w:ascii="宋体" w:hAnsi="宋体" w:eastAsia="宋体" w:cs="宋体"/>
          <w:color w:val="auto"/>
          <w:sz w:val="28"/>
          <w:szCs w:val="28"/>
          <w:u w:val="single"/>
          <w:lang w:val="en-US" w:eastAsia="zh-CN"/>
        </w:rPr>
        <w:t>成</w:t>
      </w:r>
      <w:r>
        <w:rPr>
          <w:rFonts w:hint="eastAsia" w:ascii="宋体" w:hAnsi="宋体" w:eastAsia="宋体" w:cs="宋体"/>
          <w:color w:val="auto"/>
          <w:sz w:val="28"/>
          <w:szCs w:val="28"/>
          <w:lang w:val="en-US" w:eastAsia="zh-CN"/>
        </w:rPr>
        <w:t>。</w:t>
      </w:r>
    </w:p>
    <w:p w14:paraId="61DD4260">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四、咨询费用</w:t>
      </w:r>
    </w:p>
    <w:p w14:paraId="744DCD70">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咨询</w:t>
      </w:r>
      <w:r>
        <w:rPr>
          <w:rFonts w:hint="eastAsia" w:ascii="宋体" w:hAnsi="宋体" w:eastAsia="宋体" w:cs="宋体"/>
          <w:color w:val="auto"/>
          <w:sz w:val="28"/>
          <w:szCs w:val="28"/>
          <w:highlight w:val="none"/>
        </w:rPr>
        <w:t>服务费率为：</w:t>
      </w:r>
      <w:r>
        <w:rPr>
          <w:rFonts w:hint="eastAsia" w:ascii="宋体" w:hAnsi="宋体" w:eastAsia="宋体" w:cs="宋体"/>
          <w:color w:val="auto"/>
          <w:sz w:val="28"/>
          <w:szCs w:val="28"/>
          <w:highlight w:val="none"/>
          <w:u w:val="single"/>
          <w:lang w:val="en-US" w:eastAsia="zh-CN"/>
        </w:rPr>
        <w:t>100万以下收费标准为1.20％，100-500万（含）收费标准为0.64％，500万元以上收费标准为0.36％，计费标准按差额定率分档累进法计算</w:t>
      </w:r>
      <w:r>
        <w:rPr>
          <w:rFonts w:hint="eastAsia" w:ascii="宋体" w:hAnsi="宋体" w:eastAsia="宋体" w:cs="宋体"/>
          <w:color w:val="auto"/>
          <w:sz w:val="28"/>
          <w:szCs w:val="28"/>
          <w:highlight w:val="none"/>
          <w:u w:val="none"/>
          <w:lang w:val="en-US" w:eastAsia="zh-CN"/>
        </w:rPr>
        <w:t>。</w:t>
      </w:r>
    </w:p>
    <w:p w14:paraId="03315C3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咨询费用以</w:t>
      </w:r>
      <w:r>
        <w:rPr>
          <w:rFonts w:hint="eastAsia" w:ascii="宋体" w:hAnsi="宋体" w:cs="宋体"/>
          <w:color w:val="auto"/>
          <w:sz w:val="28"/>
          <w:szCs w:val="28"/>
          <w:highlight w:val="none"/>
          <w:lang w:val="en-US" w:eastAsia="zh-CN"/>
        </w:rPr>
        <w:t>甲方该项目招标采购上限控制价为</w:t>
      </w:r>
      <w:r>
        <w:rPr>
          <w:rFonts w:hint="eastAsia" w:ascii="宋体" w:hAnsi="宋体" w:eastAsia="宋体" w:cs="宋体"/>
          <w:color w:val="auto"/>
          <w:sz w:val="28"/>
          <w:szCs w:val="28"/>
          <w:highlight w:val="none"/>
          <w:lang w:val="en-US" w:eastAsia="zh-CN"/>
        </w:rPr>
        <w:t>计费</w:t>
      </w:r>
      <w:r>
        <w:rPr>
          <w:rFonts w:hint="eastAsia" w:ascii="宋体" w:hAnsi="宋体" w:eastAsia="宋体" w:cs="宋体"/>
          <w:color w:val="auto"/>
          <w:sz w:val="28"/>
          <w:szCs w:val="28"/>
          <w:highlight w:val="none"/>
        </w:rPr>
        <w:t>基数×</w:t>
      </w:r>
      <w:r>
        <w:rPr>
          <w:rFonts w:hint="eastAsia" w:ascii="宋体" w:hAnsi="宋体" w:eastAsia="宋体" w:cs="宋体"/>
          <w:color w:val="auto"/>
          <w:sz w:val="28"/>
          <w:szCs w:val="28"/>
          <w:highlight w:val="none"/>
          <w:lang w:eastAsia="zh-CN"/>
        </w:rPr>
        <w:t>咨询</w:t>
      </w:r>
      <w:r>
        <w:rPr>
          <w:rFonts w:hint="eastAsia" w:ascii="宋体" w:hAnsi="宋体" w:eastAsia="宋体" w:cs="宋体"/>
          <w:color w:val="auto"/>
          <w:sz w:val="28"/>
          <w:szCs w:val="28"/>
          <w:highlight w:val="none"/>
        </w:rPr>
        <w:t>服务费</w:t>
      </w:r>
      <w:r>
        <w:rPr>
          <w:rFonts w:hint="eastAsia" w:ascii="宋体" w:hAnsi="宋体" w:eastAsia="宋体" w:cs="宋体"/>
          <w:color w:val="auto"/>
          <w:sz w:val="28"/>
          <w:szCs w:val="28"/>
          <w:highlight w:val="none"/>
          <w:lang w:val="en-US" w:eastAsia="zh-CN"/>
        </w:rPr>
        <w:t>率×（1-</w:t>
      </w:r>
      <w:r>
        <w:rPr>
          <w:rFonts w:hint="eastAsia" w:ascii="宋体" w:hAnsi="宋体" w:cs="宋体"/>
          <w:color w:val="auto"/>
          <w:sz w:val="28"/>
          <w:szCs w:val="28"/>
          <w:highlight w:val="none"/>
          <w:lang w:val="en-US" w:eastAsia="zh-CN"/>
        </w:rPr>
        <w:t>下浮系数</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u w:val="none"/>
          <w:lang w:eastAsia="zh-CN"/>
        </w:rPr>
        <w:t>足</w:t>
      </w:r>
      <w:r>
        <w:rPr>
          <w:rFonts w:hint="eastAsia" w:ascii="宋体" w:hAnsi="宋体" w:eastAsia="宋体" w:cs="宋体"/>
          <w:color w:val="auto"/>
          <w:sz w:val="28"/>
          <w:szCs w:val="28"/>
          <w:highlight w:val="none"/>
          <w:u w:val="none"/>
          <w:lang w:val="en-US" w:eastAsia="zh-CN"/>
        </w:rPr>
        <w:t>3000元的按3000元计费</w:t>
      </w:r>
      <w:r>
        <w:rPr>
          <w:rFonts w:hint="eastAsia" w:ascii="宋体" w:hAnsi="宋体" w:eastAsia="宋体" w:cs="宋体"/>
          <w:color w:val="auto"/>
          <w:sz w:val="28"/>
          <w:szCs w:val="28"/>
          <w:highlight w:val="none"/>
        </w:rPr>
        <w:t>。</w:t>
      </w:r>
    </w:p>
    <w:p w14:paraId="5708B135">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3.咨询费用为</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为完成本合同约定全部工作内容所需的全部费用，包括但不仅限于资料收集费、调研考察费、技术服务费、成果文件费、专家论证费、审核费、工作人员差旅费、利润、税金等服务过程中产生的一切费用。</w:t>
      </w:r>
    </w:p>
    <w:p w14:paraId="3D92F8E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五、支付方式</w:t>
      </w:r>
    </w:p>
    <w:p w14:paraId="6F84E73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1.服务费支付：</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完成本合同约定的所有工作内容并提交成果文件，经委托方认可后一次性支付合同总额的100%。款项支付前，</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应按照委托方的要求提交建设项目资金支出审批表、请款函及等额有效的增值税专用发票，否则</w:t>
      </w:r>
      <w:r>
        <w:rPr>
          <w:rFonts w:hint="eastAsia" w:ascii="宋体" w:hAnsi="宋体" w:cs="宋体"/>
          <w:color w:val="auto"/>
          <w:sz w:val="28"/>
          <w:szCs w:val="28"/>
          <w:highlight w:val="none"/>
          <w:lang w:val="en-US" w:eastAsia="zh-CN"/>
        </w:rPr>
        <w:t>委托方</w:t>
      </w:r>
      <w:r>
        <w:rPr>
          <w:rFonts w:hint="eastAsia" w:ascii="宋体" w:hAnsi="宋体" w:eastAsia="宋体" w:cs="宋体"/>
          <w:color w:val="auto"/>
          <w:sz w:val="28"/>
          <w:szCs w:val="28"/>
          <w:highlight w:val="none"/>
          <w:lang w:val="en-US" w:eastAsia="zh-CN"/>
        </w:rPr>
        <w:t xml:space="preserve">有权拒绝支付。    </w:t>
      </w:r>
    </w:p>
    <w:p w14:paraId="18CCF03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2.所有费用由委托方转账至</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对公账户。</w:t>
      </w:r>
    </w:p>
    <w:p w14:paraId="5B51B48D">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default" w:ascii="宋体" w:hAnsi="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开户名称：</w:t>
      </w:r>
      <w:r>
        <w:rPr>
          <w:rFonts w:hint="eastAsia" w:ascii="宋体" w:hAnsi="宋体" w:cs="宋体"/>
          <w:color w:val="auto"/>
          <w:sz w:val="28"/>
          <w:szCs w:val="28"/>
          <w:highlight w:val="none"/>
          <w:u w:val="single"/>
          <w:lang w:val="en-US" w:eastAsia="zh-CN"/>
        </w:rPr>
        <w:t xml:space="preserve">                      </w:t>
      </w:r>
    </w:p>
    <w:p w14:paraId="0D4BDD8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default" w:ascii="宋体" w:hAnsi="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开户银行：</w:t>
      </w:r>
      <w:r>
        <w:rPr>
          <w:rFonts w:hint="eastAsia" w:ascii="宋体" w:hAnsi="宋体" w:cs="宋体"/>
          <w:color w:val="auto"/>
          <w:sz w:val="28"/>
          <w:szCs w:val="28"/>
          <w:highlight w:val="none"/>
          <w:u w:val="single"/>
          <w:lang w:val="en-US" w:eastAsia="zh-CN"/>
        </w:rPr>
        <w:t xml:space="preserve">                      </w:t>
      </w:r>
    </w:p>
    <w:p w14:paraId="0E74107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账    号：</w:t>
      </w:r>
      <w:r>
        <w:rPr>
          <w:rFonts w:hint="eastAsia" w:ascii="宋体" w:hAnsi="宋体" w:cs="宋体"/>
          <w:color w:val="auto"/>
          <w:sz w:val="28"/>
          <w:szCs w:val="28"/>
          <w:highlight w:val="none"/>
          <w:u w:val="single"/>
          <w:lang w:val="en-US" w:eastAsia="zh-CN"/>
        </w:rPr>
        <w:t xml:space="preserve">                      </w:t>
      </w:r>
    </w:p>
    <w:p w14:paraId="194371EF">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六、质量要求</w:t>
      </w:r>
    </w:p>
    <w:p w14:paraId="08EA9BD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咨询方应</w:t>
      </w:r>
      <w:r>
        <w:rPr>
          <w:rFonts w:hint="eastAsia" w:ascii="宋体" w:hAnsi="宋体" w:eastAsia="宋体" w:cs="宋体"/>
          <w:color w:val="auto"/>
          <w:sz w:val="28"/>
          <w:szCs w:val="28"/>
          <w:highlight w:val="none"/>
          <w:lang w:val="en-US" w:eastAsia="zh-CN"/>
        </w:rPr>
        <w:t>根据建设项目</w:t>
      </w:r>
      <w:r>
        <w:rPr>
          <w:rFonts w:hint="eastAsia" w:ascii="宋体" w:hAnsi="宋体" w:cs="宋体"/>
          <w:color w:val="auto"/>
          <w:sz w:val="28"/>
          <w:szCs w:val="28"/>
          <w:highlight w:val="none"/>
          <w:lang w:val="en-US" w:eastAsia="zh-CN"/>
        </w:rPr>
        <w:t>实际需</w:t>
      </w:r>
      <w:r>
        <w:rPr>
          <w:rFonts w:hint="eastAsia" w:ascii="宋体" w:hAnsi="宋体" w:eastAsia="宋体" w:cs="宋体"/>
          <w:color w:val="auto"/>
          <w:sz w:val="28"/>
          <w:szCs w:val="28"/>
          <w:highlight w:val="none"/>
          <w:lang w:val="en-US" w:eastAsia="zh-CN"/>
        </w:rPr>
        <w:t>求，完成项目股权投资机制及方案第三方服务市场询价</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lang w:val="en-US" w:eastAsia="zh-CN"/>
        </w:rPr>
        <w:t>，内容</w:t>
      </w:r>
      <w:r>
        <w:rPr>
          <w:rFonts w:hint="eastAsia" w:ascii="宋体" w:hAnsi="宋体" w:cs="宋体"/>
          <w:color w:val="auto"/>
          <w:sz w:val="28"/>
          <w:szCs w:val="28"/>
          <w:highlight w:val="none"/>
          <w:lang w:val="en-US" w:eastAsia="zh-CN"/>
        </w:rPr>
        <w:t>应</w:t>
      </w:r>
      <w:r>
        <w:rPr>
          <w:rFonts w:hint="eastAsia" w:ascii="宋体" w:hAnsi="宋体" w:eastAsia="宋体" w:cs="宋体"/>
          <w:color w:val="auto"/>
          <w:sz w:val="28"/>
          <w:szCs w:val="28"/>
          <w:highlight w:val="none"/>
          <w:lang w:val="en-US" w:eastAsia="zh-CN"/>
        </w:rPr>
        <w:t>详实且</w:t>
      </w:r>
      <w:r>
        <w:rPr>
          <w:rFonts w:hint="eastAsia" w:ascii="宋体" w:hAnsi="宋体" w:cs="宋体"/>
          <w:color w:val="auto"/>
          <w:sz w:val="28"/>
          <w:szCs w:val="28"/>
          <w:highlight w:val="none"/>
          <w:lang w:val="en-US" w:eastAsia="zh-CN"/>
        </w:rPr>
        <w:t>满足委托方</w:t>
      </w:r>
      <w:r>
        <w:rPr>
          <w:rFonts w:hint="eastAsia" w:ascii="宋体" w:hAnsi="宋体" w:eastAsia="宋体" w:cs="宋体"/>
          <w:color w:val="auto"/>
          <w:sz w:val="28"/>
          <w:szCs w:val="28"/>
          <w:highlight w:val="none"/>
          <w:lang w:val="en-US" w:eastAsia="zh-CN"/>
        </w:rPr>
        <w:t>要求；</w:t>
      </w:r>
    </w:p>
    <w:p w14:paraId="49A8EC5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none"/>
          <w:lang w:val="en-US" w:eastAsia="zh-CN"/>
        </w:rPr>
        <w:t>2.采购预算咨询。技术服务费有计费依据的按照相关依据计算，并详细列明计算过程；</w:t>
      </w:r>
      <w:r>
        <w:rPr>
          <w:rFonts w:hint="eastAsia" w:ascii="宋体" w:hAnsi="宋体" w:cs="宋体"/>
          <w:color w:val="auto"/>
          <w:sz w:val="28"/>
          <w:szCs w:val="28"/>
          <w:highlight w:val="none"/>
          <w:lang w:val="en-US" w:eastAsia="zh-CN"/>
        </w:rPr>
        <w:t>无</w:t>
      </w:r>
      <w:r>
        <w:rPr>
          <w:rFonts w:hint="eastAsia" w:ascii="宋体" w:hAnsi="宋体" w:eastAsia="宋体" w:cs="宋体"/>
          <w:color w:val="auto"/>
          <w:sz w:val="28"/>
          <w:szCs w:val="28"/>
          <w:highlight w:val="none"/>
          <w:lang w:val="en-US" w:eastAsia="zh-CN"/>
        </w:rPr>
        <w:t>计费依据的需向有能力</w:t>
      </w:r>
      <w:r>
        <w:rPr>
          <w:rFonts w:hint="eastAsia" w:ascii="宋体" w:hAnsi="宋体" w:cs="宋体"/>
          <w:color w:val="auto"/>
          <w:sz w:val="28"/>
          <w:szCs w:val="28"/>
          <w:highlight w:val="none"/>
          <w:lang w:val="en-US" w:eastAsia="zh-CN"/>
        </w:rPr>
        <w:t>并有资质</w:t>
      </w:r>
      <w:r>
        <w:rPr>
          <w:rFonts w:hint="eastAsia" w:ascii="宋体" w:hAnsi="宋体" w:eastAsia="宋体" w:cs="宋体"/>
          <w:color w:val="auto"/>
          <w:sz w:val="28"/>
          <w:szCs w:val="28"/>
          <w:highlight w:val="none"/>
          <w:lang w:val="en-US" w:eastAsia="zh-CN"/>
        </w:rPr>
        <w:t>提供相关服务的单位进行询价，</w:t>
      </w:r>
      <w:r>
        <w:rPr>
          <w:rFonts w:hint="eastAsia" w:ascii="宋体" w:hAnsi="宋体" w:cs="宋体"/>
          <w:color w:val="auto"/>
          <w:sz w:val="28"/>
          <w:szCs w:val="28"/>
          <w:highlight w:val="none"/>
          <w:lang w:val="en-US" w:eastAsia="zh-CN"/>
        </w:rPr>
        <w:t>合格的</w:t>
      </w:r>
      <w:r>
        <w:rPr>
          <w:rFonts w:hint="eastAsia" w:ascii="宋体" w:hAnsi="宋体" w:eastAsia="宋体" w:cs="宋体"/>
          <w:color w:val="auto"/>
          <w:sz w:val="28"/>
          <w:szCs w:val="28"/>
          <w:highlight w:val="none"/>
          <w:lang w:val="en-US" w:eastAsia="zh-CN"/>
        </w:rPr>
        <w:t>咨询对象不少于三家。</w:t>
      </w:r>
    </w:p>
    <w:p w14:paraId="571EB75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七、双方责任义务</w:t>
      </w:r>
    </w:p>
    <w:p w14:paraId="5C0DF0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（一）委托方责任义务</w:t>
      </w:r>
    </w:p>
    <w:p w14:paraId="250762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(1)委托方在合同签订后需向咨询方提供项目立项、可研批复及其他等基础资料；</w:t>
      </w:r>
    </w:p>
    <w:p w14:paraId="2A18DC3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(2)委托方需对所提供资料和数据的完整性、真实性、准确性、有效性负责；</w:t>
      </w:r>
    </w:p>
    <w:p w14:paraId="6F4FF0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)委托方应按合同约定支付咨询服务费用。</w:t>
      </w:r>
    </w:p>
    <w:p w14:paraId="306424D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（二）咨询方责任</w:t>
      </w:r>
    </w:p>
    <w:p w14:paraId="270E3D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(1)咨询方应按照国家、自治区及地方规定的有关技术标准、规范和合同约定的工作内容及委托方提供的项目基础资料提供咨询服务，按期交付结论资料，对结论资料质量和真实性负责；</w:t>
      </w:r>
    </w:p>
    <w:p w14:paraId="58D85B6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(2)咨询方应根据项目的实际情况及专业经验</w:t>
      </w:r>
      <w:r>
        <w:rPr>
          <w:rFonts w:hint="eastAsia" w:ascii="宋体" w:hAnsi="宋体" w:eastAsia="宋体" w:cs="宋体"/>
          <w:color w:val="auto"/>
          <w:sz w:val="28"/>
          <w:szCs w:val="28"/>
          <w:lang w:val="en-US" w:eastAsia="zh-CN"/>
        </w:rPr>
        <w:t>开展调查论证工作，以负责</w:t>
      </w:r>
      <w:r>
        <w:rPr>
          <w:rFonts w:hint="eastAsia" w:ascii="宋体" w:hAnsi="宋体" w:cs="宋体"/>
          <w:color w:val="auto"/>
          <w:sz w:val="28"/>
          <w:szCs w:val="28"/>
          <w:lang w:val="en-US" w:eastAsia="zh-CN"/>
        </w:rPr>
        <w:t>任</w:t>
      </w:r>
      <w:r>
        <w:rPr>
          <w:rFonts w:hint="eastAsia" w:ascii="宋体" w:hAnsi="宋体" w:eastAsia="宋体" w:cs="宋体"/>
          <w:color w:val="auto"/>
          <w:sz w:val="28"/>
          <w:szCs w:val="28"/>
          <w:lang w:val="en-US" w:eastAsia="zh-CN"/>
        </w:rPr>
        <w:t>的态度</w:t>
      </w:r>
      <w:r>
        <w:rPr>
          <w:rFonts w:hint="eastAsia" w:ascii="宋体" w:hAnsi="宋体" w:eastAsia="宋体" w:cs="宋体"/>
          <w:color w:val="auto"/>
          <w:sz w:val="28"/>
          <w:szCs w:val="28"/>
          <w:highlight w:val="none"/>
          <w:lang w:val="en-US" w:eastAsia="zh-CN"/>
        </w:rPr>
        <w:t>对结论资料中出现明显的遗漏或错误提醒告知委托方，并负责修改或补充；</w:t>
      </w:r>
    </w:p>
    <w:p w14:paraId="0B5981B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(3)咨询方咨询的对象应是具备独立法人资格或依法授权的组织，能独立承担法律责任，专业技术能力、项目经验与业绩等</w:t>
      </w:r>
      <w:r>
        <w:rPr>
          <w:rFonts w:hint="eastAsia" w:ascii="宋体" w:hAnsi="宋体" w:cs="宋体"/>
          <w:color w:val="auto"/>
          <w:sz w:val="28"/>
          <w:szCs w:val="28"/>
          <w:highlight w:val="none"/>
          <w:lang w:val="en-US" w:eastAsia="zh-CN"/>
        </w:rPr>
        <w:t>；</w:t>
      </w:r>
    </w:p>
    <w:p w14:paraId="274EE6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（4）咨询方</w:t>
      </w:r>
      <w:r>
        <w:rPr>
          <w:rFonts w:hint="eastAsia" w:ascii="宋体" w:hAnsi="宋体" w:eastAsia="宋体" w:cs="宋体"/>
          <w:color w:val="auto"/>
          <w:sz w:val="28"/>
          <w:szCs w:val="28"/>
          <w:highlight w:val="none"/>
          <w:lang w:val="en-US" w:eastAsia="zh-CN"/>
        </w:rPr>
        <w:t>应按照合同约定的时间完成咨询工作及提交成果文件。</w:t>
      </w:r>
    </w:p>
    <w:p w14:paraId="6759BA1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八、违约责任</w:t>
      </w:r>
    </w:p>
    <w:p w14:paraId="5B3EED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（一）委托方违约</w:t>
      </w:r>
    </w:p>
    <w:p w14:paraId="7591CAA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1.委托方不能按时提供项目基础资料及相关文件或者提供基础资料不准确，导致咨询方无法按期开展工作的，咨询方有权要求按照延误的时间予以顺延</w:t>
      </w:r>
      <w:r>
        <w:rPr>
          <w:rFonts w:hint="eastAsia" w:ascii="宋体" w:hAnsi="宋体" w:cs="宋体"/>
          <w:color w:val="auto"/>
          <w:sz w:val="28"/>
          <w:szCs w:val="28"/>
          <w:highlight w:val="none"/>
          <w:lang w:val="en-US" w:eastAsia="zh-CN"/>
        </w:rPr>
        <w:t>，委托方无需支付相关费用</w:t>
      </w:r>
    </w:p>
    <w:p w14:paraId="168996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2.由于委托方提供的基础资料错误，造成咨询方工作返工重做，工期应给与顺延</w:t>
      </w:r>
      <w:r>
        <w:rPr>
          <w:rFonts w:hint="eastAsia" w:ascii="宋体" w:hAnsi="宋体" w:cs="宋体"/>
          <w:color w:val="auto"/>
          <w:sz w:val="28"/>
          <w:szCs w:val="28"/>
          <w:highlight w:val="none"/>
          <w:lang w:val="en-US" w:eastAsia="zh-CN"/>
        </w:rPr>
        <w:t>，委托方无需支付相关费用</w:t>
      </w:r>
    </w:p>
    <w:p w14:paraId="27A2F5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3.委托方因故要求中途终止合同的，应及时书面通知咨询方。若咨询方已开展工作，委托方应按咨询方实际完成的工作量支付相应的费用。</w:t>
      </w:r>
    </w:p>
    <w:p w14:paraId="22658F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4.委托方未按约定支付咨询服务费用的，从应付咨询费的次日起计算，每延误一天，向咨询方按应付</w:t>
      </w:r>
      <w:r>
        <w:rPr>
          <w:rFonts w:hint="eastAsia" w:ascii="宋体" w:hAnsi="宋体" w:cs="宋体"/>
          <w:color w:val="auto"/>
          <w:sz w:val="28"/>
          <w:szCs w:val="28"/>
          <w:highlight w:val="none"/>
          <w:lang w:val="en-US" w:eastAsia="zh-CN"/>
        </w:rPr>
        <w:t>未付</w:t>
      </w:r>
      <w:r>
        <w:rPr>
          <w:rFonts w:hint="eastAsia" w:ascii="宋体" w:hAnsi="宋体" w:eastAsia="宋体" w:cs="宋体"/>
          <w:color w:val="auto"/>
          <w:sz w:val="28"/>
          <w:szCs w:val="28"/>
          <w:highlight w:val="none"/>
          <w:lang w:val="en-US" w:eastAsia="zh-CN"/>
        </w:rPr>
        <w:t>费用的1‰支付违约金，最高不超过合同总价的</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p>
    <w:p w14:paraId="0F620F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val="en-US" w:eastAsia="zh-CN"/>
        </w:rPr>
        <w:t>委托方</w:t>
      </w:r>
      <w:r>
        <w:rPr>
          <w:rFonts w:hint="eastAsia" w:ascii="宋体" w:hAnsi="宋体" w:eastAsia="宋体" w:cs="宋体"/>
          <w:color w:val="auto"/>
          <w:sz w:val="28"/>
          <w:szCs w:val="28"/>
          <w:highlight w:val="none"/>
          <w:lang w:val="en-US" w:eastAsia="zh-CN"/>
        </w:rPr>
        <w:t>在规定时间内已向财政部门申请付款的，财政部门审批时间不计入付款时间，因审批原因造成推迟付款的，委托方不承担</w:t>
      </w:r>
      <w:r>
        <w:rPr>
          <w:rFonts w:hint="eastAsia" w:ascii="宋体" w:hAnsi="宋体" w:cs="宋体"/>
          <w:color w:val="auto"/>
          <w:sz w:val="28"/>
          <w:szCs w:val="28"/>
          <w:highlight w:val="none"/>
          <w:lang w:val="en-US" w:eastAsia="zh-CN"/>
        </w:rPr>
        <w:t>第4点</w:t>
      </w:r>
      <w:r>
        <w:rPr>
          <w:rFonts w:hint="eastAsia" w:ascii="宋体" w:hAnsi="宋体" w:eastAsia="宋体" w:cs="宋体"/>
          <w:color w:val="auto"/>
          <w:sz w:val="28"/>
          <w:szCs w:val="28"/>
          <w:highlight w:val="none"/>
          <w:lang w:val="en-US" w:eastAsia="zh-CN"/>
        </w:rPr>
        <w:t>责任。</w:t>
      </w:r>
    </w:p>
    <w:p w14:paraId="4446C7C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（二）咨询方违约</w:t>
      </w:r>
    </w:p>
    <w:p w14:paraId="2FD4A0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1.咨询方不得擅自转让其应履行的合同义务。</w:t>
      </w:r>
    </w:p>
    <w:p w14:paraId="1BEFB9D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2.咨询方所提供的服务质量或服务成果不合格的，应</w:t>
      </w:r>
      <w:r>
        <w:rPr>
          <w:rFonts w:hint="eastAsia" w:ascii="宋体" w:hAnsi="宋体" w:cs="宋体"/>
          <w:color w:val="auto"/>
          <w:sz w:val="28"/>
          <w:szCs w:val="28"/>
          <w:highlight w:val="none"/>
          <w:lang w:val="en-US" w:eastAsia="zh-CN"/>
        </w:rPr>
        <w:t>3日内完成</w:t>
      </w:r>
      <w:r>
        <w:rPr>
          <w:rFonts w:hint="eastAsia" w:ascii="宋体" w:hAnsi="宋体" w:eastAsia="宋体" w:cs="宋体"/>
          <w:color w:val="auto"/>
          <w:sz w:val="28"/>
          <w:szCs w:val="28"/>
          <w:highlight w:val="none"/>
          <w:lang w:val="en-US" w:eastAsia="zh-CN"/>
        </w:rPr>
        <w:t>调整，调整不及时的按逾期处罚，咨询方应向委托方支付合同金额5%违约金并赔偿委托方的经济损失。</w:t>
      </w:r>
    </w:p>
    <w:p w14:paraId="675DB07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3.咨询方提供的成果文件质量不符合要求的，委托方认为存在夸大、虚报等严重不合理的情景，有权另请</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进行论证，如果论证结果确认存在夸大、虚报等严重不合理情况，相关评审费用由咨询方负责。</w:t>
      </w:r>
      <w:r>
        <w:rPr>
          <w:rFonts w:hint="eastAsia" w:ascii="宋体" w:hAnsi="宋体" w:cs="宋体"/>
          <w:strike w:val="0"/>
          <w:color w:val="auto"/>
          <w:sz w:val="28"/>
          <w:szCs w:val="28"/>
          <w:highlight w:val="none"/>
          <w:lang w:val="en-US" w:eastAsia="zh-CN"/>
        </w:rPr>
        <w:t>同时</w:t>
      </w:r>
      <w:r>
        <w:rPr>
          <w:rFonts w:hint="eastAsia" w:ascii="宋体" w:hAnsi="宋体" w:eastAsia="宋体" w:cs="宋体"/>
          <w:color w:val="auto"/>
          <w:sz w:val="28"/>
          <w:szCs w:val="28"/>
          <w:highlight w:val="none"/>
          <w:lang w:val="en-US" w:eastAsia="zh-CN"/>
        </w:rPr>
        <w:t>委托方有权</w:t>
      </w:r>
      <w:r>
        <w:rPr>
          <w:rFonts w:hint="eastAsia" w:ascii="宋体" w:hAnsi="宋体" w:cs="宋体"/>
          <w:color w:val="auto"/>
          <w:sz w:val="28"/>
          <w:szCs w:val="28"/>
          <w:highlight w:val="none"/>
          <w:lang w:val="en-US" w:eastAsia="zh-CN"/>
        </w:rPr>
        <w:t>单方</w:t>
      </w:r>
      <w:r>
        <w:rPr>
          <w:rFonts w:hint="eastAsia" w:ascii="宋体" w:hAnsi="宋体" w:eastAsia="宋体" w:cs="宋体"/>
          <w:color w:val="auto"/>
          <w:sz w:val="28"/>
          <w:szCs w:val="28"/>
          <w:highlight w:val="none"/>
          <w:lang w:val="en-US" w:eastAsia="zh-CN"/>
        </w:rPr>
        <w:t>解除合同，咨询方需承担因此给委托方造成的</w:t>
      </w:r>
      <w:r>
        <w:rPr>
          <w:rFonts w:hint="eastAsia" w:ascii="宋体" w:hAnsi="宋体" w:cs="宋体"/>
          <w:color w:val="auto"/>
          <w:sz w:val="28"/>
          <w:szCs w:val="28"/>
          <w:highlight w:val="none"/>
          <w:lang w:val="en-US" w:eastAsia="zh-CN"/>
        </w:rPr>
        <w:t>全部</w:t>
      </w:r>
      <w:r>
        <w:rPr>
          <w:rFonts w:hint="eastAsia" w:ascii="宋体" w:hAnsi="宋体" w:eastAsia="宋体" w:cs="宋体"/>
          <w:color w:val="auto"/>
          <w:sz w:val="28"/>
          <w:szCs w:val="28"/>
          <w:highlight w:val="none"/>
          <w:lang w:val="en-US" w:eastAsia="zh-CN"/>
        </w:rPr>
        <w:t>经济损失</w:t>
      </w:r>
      <w:r>
        <w:rPr>
          <w:rFonts w:hint="eastAsia" w:ascii="宋体" w:hAnsi="宋体" w:cs="宋体"/>
          <w:color w:val="auto"/>
          <w:sz w:val="28"/>
          <w:szCs w:val="28"/>
          <w:highlight w:val="none"/>
          <w:lang w:val="en-US" w:eastAsia="zh-CN"/>
        </w:rPr>
        <w:t>包括但不限于律师费、诉讼费、保全费等等</w:t>
      </w:r>
      <w:r>
        <w:rPr>
          <w:rFonts w:hint="eastAsia" w:ascii="宋体" w:hAnsi="宋体" w:eastAsia="宋体" w:cs="宋体"/>
          <w:color w:val="auto"/>
          <w:sz w:val="28"/>
          <w:szCs w:val="28"/>
          <w:highlight w:val="none"/>
          <w:lang w:val="en-US" w:eastAsia="zh-CN"/>
        </w:rPr>
        <w:t>。</w:t>
      </w:r>
    </w:p>
    <w:p w14:paraId="7EFAD4D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4.咨询方逾期提交成果文件的，每天向委托方偿付合同金额1‰违约金，违约金额不超过合同金额</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val="en-US" w:eastAsia="zh-CN"/>
        </w:rPr>
        <w:t>%，超过</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0天的，委托方有权解除合同。咨询方需承担因此给委托方造成的经济损失</w:t>
      </w:r>
      <w:r>
        <w:rPr>
          <w:rFonts w:hint="eastAsia" w:ascii="宋体" w:hAnsi="宋体" w:cs="宋体"/>
          <w:color w:val="auto"/>
          <w:sz w:val="28"/>
          <w:szCs w:val="28"/>
          <w:highlight w:val="none"/>
          <w:lang w:val="en-US" w:eastAsia="zh-CN"/>
        </w:rPr>
        <w:t>，包括但不限于律师费、诉讼费、保全费等等</w:t>
      </w:r>
      <w:r>
        <w:rPr>
          <w:rFonts w:hint="eastAsia" w:ascii="宋体" w:hAnsi="宋体" w:eastAsia="宋体" w:cs="宋体"/>
          <w:color w:val="auto"/>
          <w:sz w:val="28"/>
          <w:szCs w:val="28"/>
          <w:highlight w:val="none"/>
          <w:lang w:val="en-US" w:eastAsia="zh-CN"/>
        </w:rPr>
        <w:t>。</w:t>
      </w:r>
    </w:p>
    <w:p w14:paraId="4AF6C160">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九、争议解决</w:t>
      </w:r>
    </w:p>
    <w:p w14:paraId="260D9E50">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color w:val="auto"/>
          <w:sz w:val="28"/>
          <w:szCs w:val="28"/>
          <w:highlight w:val="none"/>
          <w:lang w:val="en-US" w:eastAsia="zh-CN"/>
        </w:rPr>
        <w:t>本合同未尽事宜，双方应本着实事求是友好协商的态度加以解决。双方协商一致的，签订补充协议，补充协议与本合同具有同等效力。</w:t>
      </w:r>
    </w:p>
    <w:p w14:paraId="779C48BF">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调解</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如果双方不能在</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日内解决本合同争议，可以将其提交</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进行调解。</w:t>
      </w:r>
    </w:p>
    <w:p w14:paraId="3979837F">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bookmarkStart w:id="0" w:name="_Toc20050"/>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仲裁或诉讼</w:t>
      </w:r>
      <w:bookmarkEnd w:id="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合同争议的最终解决方式为下列第</w:t>
      </w:r>
      <w:r>
        <w:rPr>
          <w:rFonts w:hint="eastAsia" w:ascii="宋体" w:hAnsi="宋体" w:eastAsia="宋体" w:cs="宋体"/>
          <w:sz w:val="28"/>
          <w:szCs w:val="28"/>
          <w:highlight w:val="none"/>
          <w:u w:val="single"/>
        </w:rPr>
        <w:t>（2）</w:t>
      </w:r>
      <w:r>
        <w:rPr>
          <w:rFonts w:hint="eastAsia" w:ascii="宋体" w:hAnsi="宋体" w:eastAsia="宋体" w:cs="宋体"/>
          <w:sz w:val="28"/>
          <w:szCs w:val="28"/>
          <w:highlight w:val="none"/>
        </w:rPr>
        <w:t>种方式：</w:t>
      </w:r>
    </w:p>
    <w:p w14:paraId="21E7DCD2">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仲裁委员会进行仲裁。</w:t>
      </w:r>
    </w:p>
    <w:p w14:paraId="6A4CA37E">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（2）向</w:t>
      </w:r>
      <w:r>
        <w:rPr>
          <w:rFonts w:hint="eastAsia" w:ascii="宋体" w:hAnsi="宋体" w:eastAsia="宋体" w:cs="宋体"/>
          <w:sz w:val="28"/>
          <w:szCs w:val="28"/>
          <w:highlight w:val="none"/>
          <w:u w:val="single"/>
        </w:rPr>
        <w:t>项目所在地人民法院</w:t>
      </w:r>
      <w:r>
        <w:rPr>
          <w:rFonts w:hint="eastAsia" w:ascii="宋体" w:hAnsi="宋体" w:eastAsia="宋体" w:cs="宋体"/>
          <w:sz w:val="28"/>
          <w:szCs w:val="28"/>
          <w:highlight w:val="none"/>
        </w:rPr>
        <w:t>提起诉讼。</w:t>
      </w:r>
    </w:p>
    <w:p w14:paraId="0749A529">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）诉讼期间，本合同继续履行。</w:t>
      </w:r>
    </w:p>
    <w:p w14:paraId="4C9F8AD0">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w:t>
      </w:r>
      <w:r>
        <w:rPr>
          <w:rFonts w:hint="eastAsia" w:ascii="宋体" w:hAnsi="宋体" w:eastAsia="宋体" w:cs="宋体"/>
          <w:color w:val="auto"/>
          <w:sz w:val="28"/>
          <w:szCs w:val="28"/>
          <w:highlight w:val="none"/>
        </w:rPr>
        <w:t>、合同订立</w:t>
      </w:r>
    </w:p>
    <w:p w14:paraId="157E804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1.订立时间：</w:t>
      </w: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4EC5D55C">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2.订立地点：</w:t>
      </w:r>
      <w:r>
        <w:rPr>
          <w:rFonts w:hint="eastAsia" w:ascii="宋体" w:hAnsi="宋体" w:eastAsia="宋体" w:cs="宋体"/>
          <w:color w:val="auto"/>
          <w:sz w:val="28"/>
          <w:szCs w:val="28"/>
          <w:highlight w:val="none"/>
          <w:u w:val="single"/>
        </w:rPr>
        <w:t>河池市</w:t>
      </w:r>
      <w:r>
        <w:rPr>
          <w:rFonts w:hint="eastAsia" w:ascii="宋体" w:hAnsi="宋体" w:eastAsia="宋体" w:cs="宋体"/>
          <w:color w:val="auto"/>
          <w:sz w:val="28"/>
          <w:szCs w:val="28"/>
          <w:highlight w:val="none"/>
          <w:u w:val="single"/>
          <w:lang w:val="en-US" w:eastAsia="zh-CN"/>
        </w:rPr>
        <w:t>金城江</w:t>
      </w:r>
      <w:r>
        <w:rPr>
          <w:rFonts w:hint="eastAsia" w:ascii="宋体" w:hAnsi="宋体" w:eastAsia="宋体" w:cs="宋体"/>
          <w:color w:val="auto"/>
          <w:sz w:val="28"/>
          <w:szCs w:val="28"/>
          <w:highlight w:val="none"/>
          <w:u w:val="single"/>
        </w:rPr>
        <w:t>区</w:t>
      </w:r>
      <w:r>
        <w:rPr>
          <w:rFonts w:hint="eastAsia" w:ascii="宋体" w:hAnsi="宋体" w:eastAsia="宋体" w:cs="宋体"/>
          <w:color w:val="auto"/>
          <w:sz w:val="28"/>
          <w:szCs w:val="28"/>
          <w:highlight w:val="none"/>
          <w:lang w:eastAsia="zh-CN"/>
        </w:rPr>
        <w:t>。</w:t>
      </w:r>
    </w:p>
    <w:p w14:paraId="366C840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十、合同生效</w:t>
      </w:r>
    </w:p>
    <w:p w14:paraId="7D6D1F5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合同从签订之日起生效，至</w:t>
      </w:r>
      <w:r>
        <w:rPr>
          <w:rFonts w:hint="eastAsia" w:ascii="宋体" w:hAnsi="宋体" w:eastAsia="宋体" w:cs="宋体"/>
          <w:color w:val="auto"/>
          <w:sz w:val="28"/>
          <w:szCs w:val="28"/>
          <w:highlight w:val="none"/>
          <w:lang w:val="en-US" w:eastAsia="zh-CN"/>
        </w:rPr>
        <w:t>完成本合同约定的所有工作内容并提交成果文件，经委托方认可</w:t>
      </w:r>
      <w:r>
        <w:rPr>
          <w:rFonts w:hint="eastAsia" w:ascii="宋体" w:hAnsi="宋体" w:eastAsia="宋体" w:cs="宋体"/>
          <w:color w:val="auto"/>
          <w:sz w:val="28"/>
          <w:szCs w:val="28"/>
          <w:highlight w:val="none"/>
        </w:rPr>
        <w:t>为止。</w:t>
      </w:r>
    </w:p>
    <w:p w14:paraId="6E34C06F">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十一、其他</w:t>
      </w:r>
    </w:p>
    <w:p w14:paraId="23B3069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本合同一式肆份，具有同等法律效力，其中委托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执贰份，咨询</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执贰份。</w:t>
      </w:r>
    </w:p>
    <w:p w14:paraId="4CA7D45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2.在本合同履行过程中，因国家、自治区出台相关政策、法规、文件，导致本合同约定的技术服务工作内容发生变化的，按新政策、法规、文件执行。</w:t>
      </w:r>
    </w:p>
    <w:p w14:paraId="4714A69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3.项目实施过程中至咨询方正式向委托方交付技术文档资料时止，咨询方必须采取措施对本项目实施过程中的数据、源代码、技术文档等资料保密，由于咨询方过错导致上述资料泄密的，咨询方</w:t>
      </w:r>
      <w:r>
        <w:rPr>
          <w:rFonts w:hint="eastAsia" w:ascii="宋体" w:hAnsi="宋体" w:cs="宋体"/>
          <w:color w:val="auto"/>
          <w:sz w:val="28"/>
          <w:szCs w:val="28"/>
          <w:highlight w:val="none"/>
          <w:lang w:val="en-US" w:eastAsia="zh-CN"/>
        </w:rPr>
        <w:t>需向委托方支付合同总额20%的泄密赔偿金以及由此给委托方带来的损失赔偿金</w:t>
      </w:r>
      <w:r>
        <w:rPr>
          <w:rFonts w:hint="eastAsia" w:ascii="宋体" w:hAnsi="宋体" w:eastAsia="宋体" w:cs="宋体"/>
          <w:color w:val="auto"/>
          <w:sz w:val="28"/>
          <w:szCs w:val="28"/>
          <w:highlight w:val="none"/>
          <w:lang w:val="en-US" w:eastAsia="zh-CN"/>
        </w:rPr>
        <w:t>。项目完成后，委托方、咨询方双方均有责任对本项目的技术保密承担责任。</w:t>
      </w:r>
    </w:p>
    <w:p w14:paraId="660D9F7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sz w:val="28"/>
          <w:szCs w:val="28"/>
        </w:rPr>
        <w:t>咨询方所交付成果文件的知识产权归委托</w:t>
      </w:r>
      <w:r>
        <w:rPr>
          <w:rFonts w:hint="eastAsia" w:ascii="宋体" w:hAnsi="宋体" w:cs="宋体"/>
          <w:sz w:val="28"/>
          <w:szCs w:val="28"/>
          <w:lang w:val="en-US" w:eastAsia="zh-CN"/>
        </w:rPr>
        <w:t>方</w:t>
      </w:r>
      <w:r>
        <w:rPr>
          <w:rFonts w:hint="eastAsia" w:ascii="宋体" w:hAnsi="宋体" w:eastAsia="宋体" w:cs="宋体"/>
          <w:sz w:val="28"/>
          <w:szCs w:val="28"/>
        </w:rPr>
        <w:t>独家所有</w:t>
      </w:r>
      <w:r>
        <w:rPr>
          <w:rFonts w:hint="eastAsia" w:ascii="宋体" w:hAnsi="宋体" w:eastAsia="宋体" w:cs="宋体"/>
          <w:sz w:val="28"/>
          <w:szCs w:val="28"/>
          <w:lang w:eastAsia="zh-CN"/>
        </w:rPr>
        <w:t>，</w:t>
      </w:r>
      <w:r>
        <w:rPr>
          <w:rFonts w:hint="eastAsia" w:ascii="宋体" w:hAnsi="宋体" w:eastAsia="宋体" w:cs="宋体"/>
          <w:color w:val="auto"/>
          <w:sz w:val="28"/>
          <w:szCs w:val="28"/>
          <w:highlight w:val="none"/>
          <w:lang w:val="en-US" w:eastAsia="zh-CN"/>
        </w:rPr>
        <w:t>未经委托方事先书面同意，咨询方不得将由委托方为本合同提供的文件、计划、图纸、模型、样品或资料提供给与本合同无关的任何第三方，不得将其用于履行本合同之外的其它用途。即使向与履行本合同有关的人员提供，也应注意保密并限于履行合同所必需的范围。</w:t>
      </w:r>
    </w:p>
    <w:p w14:paraId="089FCEF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的保密义务持续有效，不因为本合同履行终止、解除或者无效而解除。</w:t>
      </w:r>
    </w:p>
    <w:p w14:paraId="47CED44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p>
    <w:p w14:paraId="4C1F279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p>
    <w:tbl>
      <w:tblPr>
        <w:tblStyle w:val="14"/>
        <w:tblpPr w:leftFromText="180" w:rightFromText="180" w:vertAnchor="text" w:horzAnchor="page" w:tblpX="1718" w:tblpY="356"/>
        <w:tblOverlap w:val="never"/>
        <w:tblW w:w="0" w:type="auto"/>
        <w:jc w:val="center"/>
        <w:tblLayout w:type="fixed"/>
        <w:tblCellMar>
          <w:top w:w="0" w:type="dxa"/>
          <w:left w:w="108" w:type="dxa"/>
          <w:bottom w:w="0" w:type="dxa"/>
          <w:right w:w="108" w:type="dxa"/>
        </w:tblCellMar>
      </w:tblPr>
      <w:tblGrid>
        <w:gridCol w:w="4419"/>
        <w:gridCol w:w="4246"/>
      </w:tblGrid>
      <w:tr w14:paraId="193F3849">
        <w:tblPrEx>
          <w:tblCellMar>
            <w:top w:w="0" w:type="dxa"/>
            <w:left w:w="108" w:type="dxa"/>
            <w:bottom w:w="0" w:type="dxa"/>
            <w:right w:w="108" w:type="dxa"/>
          </w:tblCellMar>
        </w:tblPrEx>
        <w:trPr>
          <w:trHeight w:val="90" w:hRule="atLeast"/>
          <w:jc w:val="center"/>
        </w:trPr>
        <w:tc>
          <w:tcPr>
            <w:tcW w:w="4419" w:type="dxa"/>
            <w:noWrap w:val="0"/>
            <w:vAlign w:val="center"/>
          </w:tcPr>
          <w:p w14:paraId="78F46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(盖章)：</w:t>
            </w:r>
          </w:p>
        </w:tc>
        <w:tc>
          <w:tcPr>
            <w:tcW w:w="4246" w:type="dxa"/>
            <w:noWrap w:val="0"/>
            <w:vAlign w:val="center"/>
          </w:tcPr>
          <w:p w14:paraId="3742F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rPr>
              <w:t>(盖章)：</w:t>
            </w:r>
          </w:p>
        </w:tc>
      </w:tr>
      <w:tr w14:paraId="77A887AF">
        <w:tblPrEx>
          <w:tblCellMar>
            <w:top w:w="0" w:type="dxa"/>
            <w:left w:w="108" w:type="dxa"/>
            <w:bottom w:w="0" w:type="dxa"/>
            <w:right w:w="108" w:type="dxa"/>
          </w:tblCellMar>
        </w:tblPrEx>
        <w:trPr>
          <w:trHeight w:val="1126" w:hRule="atLeast"/>
          <w:jc w:val="center"/>
        </w:trPr>
        <w:tc>
          <w:tcPr>
            <w:tcW w:w="4419" w:type="dxa"/>
            <w:noWrap w:val="0"/>
            <w:vAlign w:val="center"/>
          </w:tcPr>
          <w:p w14:paraId="561CB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11437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授权代理人(签字或盖章)：</w:t>
            </w:r>
          </w:p>
        </w:tc>
        <w:tc>
          <w:tcPr>
            <w:tcW w:w="4246" w:type="dxa"/>
            <w:noWrap w:val="0"/>
            <w:vAlign w:val="center"/>
          </w:tcPr>
          <w:p w14:paraId="0ADDD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36D9F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授权代理人(签字或盖章)：</w:t>
            </w:r>
          </w:p>
        </w:tc>
      </w:tr>
      <w:tr w14:paraId="4E172602">
        <w:tblPrEx>
          <w:tblCellMar>
            <w:top w:w="0" w:type="dxa"/>
            <w:left w:w="108" w:type="dxa"/>
            <w:bottom w:w="0" w:type="dxa"/>
            <w:right w:w="108" w:type="dxa"/>
          </w:tblCellMar>
        </w:tblPrEx>
        <w:trPr>
          <w:trHeight w:val="417" w:hRule="atLeast"/>
          <w:jc w:val="center"/>
        </w:trPr>
        <w:tc>
          <w:tcPr>
            <w:tcW w:w="4419" w:type="dxa"/>
            <w:noWrap w:val="0"/>
            <w:vAlign w:val="center"/>
          </w:tcPr>
          <w:p w14:paraId="7E6D4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经 办 人：</w:t>
            </w:r>
          </w:p>
        </w:tc>
        <w:tc>
          <w:tcPr>
            <w:tcW w:w="4246" w:type="dxa"/>
            <w:noWrap w:val="0"/>
            <w:vAlign w:val="center"/>
          </w:tcPr>
          <w:p w14:paraId="6D6C0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联 系 人：</w:t>
            </w:r>
          </w:p>
        </w:tc>
      </w:tr>
      <w:tr w14:paraId="45ED0F7F">
        <w:tblPrEx>
          <w:tblCellMar>
            <w:top w:w="0" w:type="dxa"/>
            <w:left w:w="108" w:type="dxa"/>
            <w:bottom w:w="0" w:type="dxa"/>
            <w:right w:w="108" w:type="dxa"/>
          </w:tblCellMar>
        </w:tblPrEx>
        <w:trPr>
          <w:trHeight w:val="430" w:hRule="atLeast"/>
          <w:jc w:val="center"/>
        </w:trPr>
        <w:tc>
          <w:tcPr>
            <w:tcW w:w="4419" w:type="dxa"/>
            <w:noWrap w:val="0"/>
            <w:vAlign w:val="center"/>
          </w:tcPr>
          <w:p w14:paraId="73311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    话：</w:t>
            </w:r>
          </w:p>
        </w:tc>
        <w:tc>
          <w:tcPr>
            <w:tcW w:w="4246" w:type="dxa"/>
            <w:noWrap w:val="0"/>
            <w:vAlign w:val="center"/>
          </w:tcPr>
          <w:p w14:paraId="56C0C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    话：</w:t>
            </w:r>
          </w:p>
        </w:tc>
      </w:tr>
      <w:tr w14:paraId="44B5E26A">
        <w:tblPrEx>
          <w:tblCellMar>
            <w:top w:w="0" w:type="dxa"/>
            <w:left w:w="108" w:type="dxa"/>
            <w:bottom w:w="0" w:type="dxa"/>
            <w:right w:w="108" w:type="dxa"/>
          </w:tblCellMar>
        </w:tblPrEx>
        <w:trPr>
          <w:trHeight w:val="404" w:hRule="atLeast"/>
          <w:jc w:val="center"/>
        </w:trPr>
        <w:tc>
          <w:tcPr>
            <w:tcW w:w="4419" w:type="dxa"/>
            <w:noWrap w:val="0"/>
            <w:vAlign w:val="center"/>
          </w:tcPr>
          <w:p w14:paraId="49676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地    址：</w:t>
            </w:r>
          </w:p>
        </w:tc>
        <w:tc>
          <w:tcPr>
            <w:tcW w:w="4246" w:type="dxa"/>
            <w:noWrap w:val="0"/>
            <w:vAlign w:val="center"/>
          </w:tcPr>
          <w:p w14:paraId="07CED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地    址：</w:t>
            </w:r>
          </w:p>
        </w:tc>
      </w:tr>
      <w:tr w14:paraId="5141857D">
        <w:tblPrEx>
          <w:tblCellMar>
            <w:top w:w="0" w:type="dxa"/>
            <w:left w:w="108" w:type="dxa"/>
            <w:bottom w:w="0" w:type="dxa"/>
            <w:right w:w="108" w:type="dxa"/>
          </w:tblCellMar>
        </w:tblPrEx>
        <w:trPr>
          <w:trHeight w:val="411" w:hRule="atLeast"/>
          <w:jc w:val="center"/>
        </w:trPr>
        <w:tc>
          <w:tcPr>
            <w:tcW w:w="4419" w:type="dxa"/>
            <w:noWrap w:val="0"/>
            <w:vAlign w:val="center"/>
          </w:tcPr>
          <w:p w14:paraId="40DA9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电子邮箱：</w:t>
            </w:r>
          </w:p>
        </w:tc>
        <w:tc>
          <w:tcPr>
            <w:tcW w:w="4246" w:type="dxa"/>
            <w:noWrap w:val="0"/>
            <w:vAlign w:val="center"/>
          </w:tcPr>
          <w:p w14:paraId="4D35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电子邮箱：</w:t>
            </w:r>
          </w:p>
        </w:tc>
      </w:tr>
      <w:tr w14:paraId="271DD6AF">
        <w:tblPrEx>
          <w:tblCellMar>
            <w:top w:w="0" w:type="dxa"/>
            <w:left w:w="108" w:type="dxa"/>
            <w:bottom w:w="0" w:type="dxa"/>
            <w:right w:w="108" w:type="dxa"/>
          </w:tblCellMar>
        </w:tblPrEx>
        <w:trPr>
          <w:trHeight w:val="90" w:hRule="atLeast"/>
          <w:jc w:val="center"/>
        </w:trPr>
        <w:tc>
          <w:tcPr>
            <w:tcW w:w="4419" w:type="dxa"/>
            <w:noWrap w:val="0"/>
            <w:vAlign w:val="center"/>
          </w:tcPr>
          <w:p w14:paraId="14D27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开户名称：</w:t>
            </w:r>
          </w:p>
        </w:tc>
        <w:tc>
          <w:tcPr>
            <w:tcW w:w="4246" w:type="dxa"/>
            <w:noWrap w:val="0"/>
            <w:vAlign w:val="center"/>
          </w:tcPr>
          <w:p w14:paraId="277BE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开户名称：</w:t>
            </w:r>
          </w:p>
        </w:tc>
      </w:tr>
      <w:tr w14:paraId="432C9471">
        <w:tblPrEx>
          <w:tblCellMar>
            <w:top w:w="0" w:type="dxa"/>
            <w:left w:w="108" w:type="dxa"/>
            <w:bottom w:w="0" w:type="dxa"/>
            <w:right w:w="108" w:type="dxa"/>
          </w:tblCellMar>
        </w:tblPrEx>
        <w:trPr>
          <w:trHeight w:val="440" w:hRule="atLeast"/>
          <w:jc w:val="center"/>
        </w:trPr>
        <w:tc>
          <w:tcPr>
            <w:tcW w:w="4419" w:type="dxa"/>
            <w:noWrap w:val="0"/>
            <w:vAlign w:val="center"/>
          </w:tcPr>
          <w:p w14:paraId="0B9C3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开户银行：</w:t>
            </w:r>
          </w:p>
        </w:tc>
        <w:tc>
          <w:tcPr>
            <w:tcW w:w="4246" w:type="dxa"/>
            <w:noWrap w:val="0"/>
            <w:vAlign w:val="center"/>
          </w:tcPr>
          <w:p w14:paraId="0564B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开户银行：</w:t>
            </w:r>
          </w:p>
        </w:tc>
      </w:tr>
      <w:tr w14:paraId="5550497C">
        <w:tblPrEx>
          <w:tblCellMar>
            <w:top w:w="0" w:type="dxa"/>
            <w:left w:w="108" w:type="dxa"/>
            <w:bottom w:w="0" w:type="dxa"/>
            <w:right w:w="108" w:type="dxa"/>
          </w:tblCellMar>
        </w:tblPrEx>
        <w:trPr>
          <w:trHeight w:val="90" w:hRule="atLeast"/>
          <w:jc w:val="center"/>
        </w:trPr>
        <w:tc>
          <w:tcPr>
            <w:tcW w:w="4419" w:type="dxa"/>
            <w:noWrap w:val="0"/>
            <w:vAlign w:val="center"/>
          </w:tcPr>
          <w:p w14:paraId="04F6C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账    号：</w:t>
            </w:r>
          </w:p>
        </w:tc>
        <w:tc>
          <w:tcPr>
            <w:tcW w:w="4246" w:type="dxa"/>
            <w:noWrap w:val="0"/>
            <w:vAlign w:val="center"/>
          </w:tcPr>
          <w:p w14:paraId="13A6B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账</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号：</w:t>
            </w:r>
          </w:p>
        </w:tc>
      </w:tr>
      <w:tr w14:paraId="77509596">
        <w:trPr>
          <w:trHeight w:val="490" w:hRule="atLeast"/>
          <w:jc w:val="center"/>
        </w:trPr>
        <w:tc>
          <w:tcPr>
            <w:tcW w:w="4419" w:type="dxa"/>
            <w:noWrap w:val="0"/>
            <w:vAlign w:val="center"/>
          </w:tcPr>
          <w:p w14:paraId="79AEA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社会信用代码：</w:t>
            </w:r>
          </w:p>
        </w:tc>
        <w:tc>
          <w:tcPr>
            <w:tcW w:w="4246" w:type="dxa"/>
            <w:noWrap w:val="0"/>
            <w:vAlign w:val="center"/>
          </w:tcPr>
          <w:p w14:paraId="06EC4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rPr>
              <w:t>社会信用代码：</w:t>
            </w:r>
          </w:p>
        </w:tc>
      </w:tr>
      <w:tr w14:paraId="0C28C581">
        <w:tblPrEx>
          <w:tblCellMar>
            <w:top w:w="0" w:type="dxa"/>
            <w:left w:w="108" w:type="dxa"/>
            <w:bottom w:w="0" w:type="dxa"/>
            <w:right w:w="108" w:type="dxa"/>
          </w:tblCellMar>
        </w:tblPrEx>
        <w:trPr>
          <w:trHeight w:val="796" w:hRule="atLeast"/>
          <w:jc w:val="center"/>
        </w:trPr>
        <w:tc>
          <w:tcPr>
            <w:tcW w:w="8665" w:type="dxa"/>
            <w:gridSpan w:val="2"/>
            <w:noWrap w:val="0"/>
            <w:vAlign w:val="center"/>
          </w:tcPr>
          <w:p w14:paraId="3F9EE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eastAsia="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年  月  日</w:t>
            </w:r>
          </w:p>
        </w:tc>
      </w:tr>
    </w:tbl>
    <w:p w14:paraId="24E0ECD3">
      <w:pPr>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19D0C7C7">
      <w:pPr>
        <w:pStyle w:val="6"/>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2F7D5D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br w:type="page"/>
      </w:r>
    </w:p>
    <w:p w14:paraId="39E830DA">
      <w:pPr>
        <w:keepNext w:val="0"/>
        <w:keepLines w:val="0"/>
        <w:pageBreakBefore w:val="0"/>
        <w:kinsoku/>
        <w:wordWrap/>
        <w:overflowPunct/>
        <w:topLinePunct w:val="0"/>
        <w:bidi w:val="0"/>
        <w:adjustRightInd/>
        <w:spacing w:before="44"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附件1：廉政协议</w:t>
      </w:r>
    </w:p>
    <w:p w14:paraId="650BF28C">
      <w:pPr>
        <w:keepNext w:val="0"/>
        <w:keepLines w:val="0"/>
        <w:pageBreakBefore w:val="0"/>
        <w:widowControl w:val="0"/>
        <w:kinsoku/>
        <w:wordWrap/>
        <w:overflowPunct/>
        <w:topLinePunct w:val="0"/>
        <w:autoSpaceDE/>
        <w:autoSpaceDN/>
        <w:bidi w:val="0"/>
        <w:adjustRightInd/>
        <w:spacing w:line="600" w:lineRule="exact"/>
        <w:ind w:right="1234"/>
        <w:jc w:val="center"/>
        <w:textAlignment w:val="auto"/>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b/>
          <w:sz w:val="52"/>
          <w:szCs w:val="52"/>
        </w:rPr>
        <w:t>廉政协议</w:t>
      </w:r>
    </w:p>
    <w:p w14:paraId="206ABA4F">
      <w:pPr>
        <w:pStyle w:val="3"/>
        <w:keepNext w:val="0"/>
        <w:keepLines w:val="0"/>
        <w:pageBreakBefore w:val="0"/>
        <w:widowControl w:val="0"/>
        <w:kinsoku/>
        <w:wordWrap/>
        <w:overflowPunct/>
        <w:topLinePunct w:val="0"/>
        <w:autoSpaceDE/>
        <w:autoSpaceDN/>
        <w:bidi w:val="0"/>
        <w:adjustRightInd/>
        <w:spacing w:line="600" w:lineRule="exact"/>
        <w:ind w:firstLine="544" w:firstLineChars="200"/>
        <w:jc w:val="both"/>
        <w:textAlignment w:val="auto"/>
        <w:rPr>
          <w:rFonts w:hint="eastAsia" w:ascii="宋体" w:hAnsi="宋体" w:eastAsia="宋体" w:cs="宋体"/>
          <w:spacing w:val="-4"/>
          <w:sz w:val="28"/>
          <w:szCs w:val="28"/>
          <w:lang w:eastAsia="zh-CN"/>
        </w:rPr>
      </w:pPr>
    </w:p>
    <w:p w14:paraId="4018DBB6">
      <w:pPr>
        <w:pStyle w:val="3"/>
        <w:keepNext w:val="0"/>
        <w:keepLines w:val="0"/>
        <w:pageBreakBefore w:val="0"/>
        <w:widowControl w:val="0"/>
        <w:kinsoku/>
        <w:wordWrap/>
        <w:overflowPunct/>
        <w:topLinePunct w:val="0"/>
        <w:autoSpaceDE/>
        <w:autoSpaceDN/>
        <w:bidi w:val="0"/>
        <w:adjustRightInd/>
        <w:spacing w:line="560" w:lineRule="exact"/>
        <w:ind w:firstLine="544" w:firstLineChars="200"/>
        <w:jc w:val="both"/>
        <w:textAlignment w:val="auto"/>
        <w:rPr>
          <w:rFonts w:hint="eastAsia" w:ascii="宋体" w:hAnsi="宋体" w:eastAsia="宋体" w:cs="宋体"/>
          <w:sz w:val="28"/>
          <w:szCs w:val="28"/>
          <w:lang w:eastAsia="zh-CN"/>
        </w:rPr>
      </w:pPr>
      <w:r>
        <w:rPr>
          <w:rFonts w:hint="eastAsia" w:ascii="宋体" w:hAnsi="宋体" w:eastAsia="宋体" w:cs="宋体"/>
          <w:spacing w:val="-4"/>
          <w:sz w:val="28"/>
          <w:szCs w:val="28"/>
          <w:lang w:eastAsia="zh-CN"/>
        </w:rPr>
        <w:t>根据国家及水利部有关工程建设、廉政建设的规定，为做好工程建设中的党风廉政建设，保证</w:t>
      </w:r>
      <w:r>
        <w:rPr>
          <w:rFonts w:hint="eastAsia" w:ascii="宋体" w:hAnsi="宋体" w:eastAsia="宋体" w:cs="宋体"/>
          <w:spacing w:val="-2"/>
          <w:sz w:val="28"/>
          <w:szCs w:val="28"/>
          <w:lang w:eastAsia="zh-CN"/>
        </w:rPr>
        <w:t>工程建设高效优质，保证建设资金的安全和有效使用以及投资效益，</w:t>
      </w:r>
      <w:r>
        <w:rPr>
          <w:rFonts w:hint="eastAsia" w:ascii="宋体" w:hAnsi="宋体" w:eastAsia="宋体" w:cs="宋体"/>
          <w:spacing w:val="-2"/>
          <w:sz w:val="28"/>
          <w:szCs w:val="28"/>
          <w:u w:val="single"/>
          <w:lang w:eastAsia="zh-CN"/>
        </w:rPr>
        <w:t>河池市生态及资源投资开发有限公司</w:t>
      </w:r>
      <w:r>
        <w:rPr>
          <w:rFonts w:hint="eastAsia" w:ascii="宋体" w:hAnsi="宋体" w:eastAsia="宋体" w:cs="宋体"/>
          <w:spacing w:val="-2"/>
          <w:sz w:val="28"/>
          <w:szCs w:val="28"/>
          <w:lang w:eastAsia="zh-CN"/>
        </w:rPr>
        <w:t>（全称）</w:t>
      </w:r>
      <w:r>
        <w:rPr>
          <w:rFonts w:hint="eastAsia" w:ascii="宋体" w:hAnsi="宋体" w:eastAsia="宋体" w:cs="宋体"/>
          <w:spacing w:val="-2"/>
          <w:sz w:val="28"/>
          <w:szCs w:val="28"/>
          <w:lang w:val="en-US" w:eastAsia="zh-CN"/>
        </w:rPr>
        <w:t>(</w:t>
      </w:r>
      <w:r>
        <w:rPr>
          <w:rFonts w:hint="eastAsia" w:ascii="宋体" w:hAnsi="宋体" w:eastAsia="宋体" w:cs="宋体"/>
          <w:spacing w:val="-2"/>
          <w:sz w:val="28"/>
          <w:szCs w:val="28"/>
          <w:lang w:eastAsia="zh-CN"/>
        </w:rPr>
        <w:t>以下简称发包人）与</w:t>
      </w:r>
      <w:r>
        <w:rPr>
          <w:rFonts w:hint="eastAsia" w:ascii="宋体" w:hAnsi="宋体" w:cs="宋体"/>
          <w:color w:val="auto"/>
          <w:spacing w:val="-2"/>
          <w:sz w:val="28"/>
          <w:szCs w:val="28"/>
          <w:u w:val="single"/>
          <w:lang w:val="en-US" w:eastAsia="zh-CN"/>
        </w:rPr>
        <w:t xml:space="preserve">           </w:t>
      </w:r>
      <w:r>
        <w:rPr>
          <w:rFonts w:hint="eastAsia" w:ascii="宋体" w:hAnsi="宋体" w:eastAsia="宋体" w:cs="宋体"/>
          <w:color w:val="auto"/>
          <w:spacing w:val="-2"/>
          <w:sz w:val="28"/>
          <w:szCs w:val="28"/>
          <w:lang w:eastAsia="zh-CN"/>
        </w:rPr>
        <w:t>（</w:t>
      </w:r>
      <w:r>
        <w:rPr>
          <w:rFonts w:hint="eastAsia" w:ascii="宋体" w:hAnsi="宋体" w:eastAsia="宋体" w:cs="宋体"/>
          <w:spacing w:val="-2"/>
          <w:sz w:val="28"/>
          <w:szCs w:val="28"/>
          <w:lang w:eastAsia="zh-CN"/>
        </w:rPr>
        <w:t xml:space="preserve">全称）（以下简称承包人），特订立如下合同。 </w:t>
      </w:r>
    </w:p>
    <w:p w14:paraId="78FEE715">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一、发包人的权利和义务 </w:t>
      </w:r>
    </w:p>
    <w:p w14:paraId="50B32B97">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（一）发包人的工作人员有责任向承包人介绍本单位有关廉洁从业的制度、规定。发包人的纪检监察人员有权对双方在招、投标及合同执行过程中的廉洁情况进行监督。 </w:t>
      </w:r>
    </w:p>
    <w:p w14:paraId="5E67C166">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（二）发包人的工作人员不得向承包人泄露招、投标中的商业秘密。 </w:t>
      </w:r>
    </w:p>
    <w:p w14:paraId="172749B6">
      <w:pPr>
        <w:pStyle w:val="3"/>
        <w:keepNext w:val="0"/>
        <w:keepLines w:val="0"/>
        <w:pageBreakBefore w:val="0"/>
        <w:widowControl w:val="0"/>
        <w:tabs>
          <w:tab w:val="left" w:pos="819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pacing w:val="-1"/>
          <w:sz w:val="28"/>
          <w:szCs w:val="28"/>
          <w:lang w:eastAsia="zh-CN"/>
        </w:rPr>
        <w:t>发包人的工作人员在招、投标过程中以及合同执行过程中，不得以任何形式向承包人索取贿赂、收受回扣及好处费等；不得接受承包人馈赠的有价证券和贵重物品；不得让承包人报销任何费用；不得参加对执行公务有影响的娱乐活动和宴请；不得向承包人介绍家属或亲友从事与该项目有关的材料、设备供应和该项目分包等经济活动；不得要求承包人为其装修房子；不得要求承包人</w:t>
      </w:r>
      <w:r>
        <w:rPr>
          <w:rFonts w:hint="eastAsia" w:ascii="宋体" w:hAnsi="宋体" w:eastAsia="宋体" w:cs="宋体"/>
          <w:spacing w:val="-3"/>
          <w:sz w:val="28"/>
          <w:szCs w:val="28"/>
          <w:lang w:eastAsia="zh-CN"/>
        </w:rPr>
        <w:t>为亲属安排出境和国内旅游等；不得借婚丧嫁娶之机收受承包人的钱</w:t>
      </w:r>
      <w:r>
        <w:rPr>
          <w:rFonts w:hint="eastAsia" w:ascii="宋体" w:hAnsi="宋体" w:eastAsia="宋体" w:cs="宋体"/>
          <w:sz w:val="28"/>
          <w:szCs w:val="28"/>
          <w:lang w:eastAsia="zh-CN"/>
        </w:rPr>
        <w:t>（</w:t>
      </w:r>
      <w:r>
        <w:rPr>
          <w:rFonts w:hint="eastAsia" w:ascii="宋体" w:hAnsi="宋体" w:eastAsia="宋体" w:cs="宋体"/>
          <w:spacing w:val="-3"/>
          <w:sz w:val="28"/>
          <w:szCs w:val="28"/>
          <w:lang w:eastAsia="zh-CN"/>
        </w:rPr>
        <w:t>含有价证券</w:t>
      </w:r>
      <w:r>
        <w:rPr>
          <w:rFonts w:hint="eastAsia" w:ascii="宋体" w:hAnsi="宋体" w:eastAsia="宋体" w:cs="宋体"/>
          <w:spacing w:val="-108"/>
          <w:sz w:val="28"/>
          <w:szCs w:val="28"/>
          <w:lang w:eastAsia="zh-CN"/>
        </w:rPr>
        <w:t>）</w:t>
      </w:r>
      <w:r>
        <w:rPr>
          <w:rFonts w:hint="eastAsia" w:ascii="宋体" w:hAnsi="宋体" w:eastAsia="宋体" w:cs="宋体"/>
          <w:spacing w:val="-3"/>
          <w:sz w:val="28"/>
          <w:szCs w:val="28"/>
          <w:lang w:eastAsia="zh-CN"/>
        </w:rPr>
        <w:t>、物。</w:t>
      </w:r>
      <w:r>
        <w:rPr>
          <w:rFonts w:hint="eastAsia" w:ascii="宋体" w:hAnsi="宋体" w:eastAsia="宋体" w:cs="宋体"/>
          <w:sz w:val="28"/>
          <w:szCs w:val="28"/>
          <w:lang w:eastAsia="zh-CN"/>
        </w:rPr>
        <w:t xml:space="preserve"> </w:t>
      </w:r>
    </w:p>
    <w:p w14:paraId="3F5A3D3A">
      <w:pPr>
        <w:pStyle w:val="3"/>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w:t>
      </w:r>
      <w:r>
        <w:rPr>
          <w:rFonts w:hint="eastAsia" w:ascii="宋体" w:hAnsi="宋体" w:eastAsia="宋体" w:cs="宋体"/>
          <w:spacing w:val="-10"/>
          <w:sz w:val="28"/>
          <w:szCs w:val="28"/>
          <w:lang w:eastAsia="zh-CN"/>
        </w:rPr>
        <w:t>）</w:t>
      </w:r>
      <w:r>
        <w:rPr>
          <w:rFonts w:hint="eastAsia" w:ascii="宋体" w:hAnsi="宋体" w:eastAsia="宋体" w:cs="宋体"/>
          <w:spacing w:val="-4"/>
          <w:sz w:val="28"/>
          <w:szCs w:val="28"/>
          <w:lang w:eastAsia="zh-CN"/>
        </w:rPr>
        <w:t>对承包人主动给予的钱</w:t>
      </w:r>
      <w:r>
        <w:rPr>
          <w:rFonts w:hint="eastAsia" w:ascii="宋体" w:hAnsi="宋体" w:eastAsia="宋体" w:cs="宋体"/>
          <w:sz w:val="28"/>
          <w:szCs w:val="28"/>
          <w:lang w:eastAsia="zh-CN"/>
        </w:rPr>
        <w:t>（</w:t>
      </w:r>
      <w:r>
        <w:rPr>
          <w:rFonts w:hint="eastAsia" w:ascii="宋体" w:hAnsi="宋体" w:eastAsia="宋体" w:cs="宋体"/>
          <w:spacing w:val="-3"/>
          <w:sz w:val="28"/>
          <w:szCs w:val="28"/>
          <w:lang w:eastAsia="zh-CN"/>
        </w:rPr>
        <w:t>含有价证券</w:t>
      </w:r>
      <w:r>
        <w:rPr>
          <w:rFonts w:hint="eastAsia" w:ascii="宋体" w:hAnsi="宋体" w:eastAsia="宋体" w:cs="宋体"/>
          <w:spacing w:val="-108"/>
          <w:sz w:val="28"/>
          <w:szCs w:val="28"/>
          <w:lang w:eastAsia="zh-CN"/>
        </w:rPr>
        <w:t>）</w:t>
      </w:r>
      <w:r>
        <w:rPr>
          <w:rFonts w:hint="eastAsia" w:ascii="宋体" w:hAnsi="宋体" w:eastAsia="宋体" w:cs="宋体"/>
          <w:spacing w:val="-6"/>
          <w:sz w:val="28"/>
          <w:szCs w:val="28"/>
          <w:lang w:eastAsia="zh-CN"/>
        </w:rPr>
        <w:t>、物，发包人的工作人员要坚决谢绝，无法拒绝的</w:t>
      </w:r>
      <w:r>
        <w:rPr>
          <w:rFonts w:hint="eastAsia" w:ascii="宋体" w:hAnsi="宋体" w:eastAsia="宋体" w:cs="宋体"/>
          <w:spacing w:val="-4"/>
          <w:sz w:val="28"/>
          <w:szCs w:val="28"/>
          <w:lang w:eastAsia="zh-CN"/>
        </w:rPr>
        <w:t>要在两周内上交发包人的纪检监察部门或上级纪检监察部门。</w:t>
      </w:r>
      <w:r>
        <w:rPr>
          <w:rFonts w:hint="eastAsia" w:ascii="宋体" w:hAnsi="宋体" w:eastAsia="宋体" w:cs="宋体"/>
          <w:sz w:val="28"/>
          <w:szCs w:val="28"/>
          <w:lang w:eastAsia="zh-CN"/>
        </w:rPr>
        <w:t xml:space="preserve"> </w:t>
      </w:r>
    </w:p>
    <w:p w14:paraId="2BC2C950">
      <w:pPr>
        <w:pStyle w:val="3"/>
        <w:keepNext w:val="0"/>
        <w:keepLines w:val="0"/>
        <w:pageBreakBefore w:val="0"/>
        <w:widowControl w:val="0"/>
        <w:tabs>
          <w:tab w:val="left" w:pos="798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pacing w:val="-3"/>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pacing w:val="-3"/>
          <w:sz w:val="28"/>
          <w:szCs w:val="28"/>
          <w:lang w:eastAsia="zh-CN"/>
        </w:rPr>
        <w:t>）发包人的工作人员在招标及执行合同过程中，必须遵守廉洁自律的其他有关规定。</w:t>
      </w:r>
    </w:p>
    <w:p w14:paraId="06A44205">
      <w:pPr>
        <w:pStyle w:val="3"/>
        <w:keepNext w:val="0"/>
        <w:keepLines w:val="0"/>
        <w:pageBreakBefore w:val="0"/>
        <w:widowControl w:val="0"/>
        <w:tabs>
          <w:tab w:val="left" w:pos="7980"/>
        </w:tabs>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pacing w:val="-3"/>
          <w:sz w:val="28"/>
          <w:szCs w:val="28"/>
          <w:lang w:eastAsia="zh-CN"/>
        </w:rPr>
        <w:t>二、承包人的权利和义务</w:t>
      </w:r>
      <w:r>
        <w:rPr>
          <w:rFonts w:hint="eastAsia" w:ascii="宋体" w:hAnsi="宋体" w:eastAsia="宋体" w:cs="宋体"/>
          <w:b/>
          <w:bCs/>
          <w:sz w:val="28"/>
          <w:szCs w:val="28"/>
          <w:lang w:eastAsia="zh-CN"/>
        </w:rPr>
        <w:t xml:space="preserve"> </w:t>
      </w:r>
    </w:p>
    <w:p w14:paraId="7F48EB2A">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（一）承包人的纪检监察人员有权对双方在招、投标及合同执行过程中的廉洁从业情况进行监督，并积极配合发包人纪检监察工作人员就有关违纪问题进行调查取证。 </w:t>
      </w:r>
    </w:p>
    <w:p w14:paraId="74EA8B83">
      <w:pPr>
        <w:pStyle w:val="3"/>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（二）承包人有权了解发包人在廉洁从业方面的各项制度和规定，并主动配合发包人遵守执行。 </w:t>
      </w:r>
    </w:p>
    <w:p w14:paraId="129D7A04">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（三）承包人的工作人员不得以任何方式向发包人的工作人员了解招投标中的商业秘密。 </w:t>
      </w:r>
    </w:p>
    <w:p w14:paraId="61CDE3E4">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承包人的工作人员在投标过程及中标后的合同执行过程中，不得向发包人的工作人员行贿、提供回扣或其他好处费等；不得向发包人的工作人员馈赠有价证券和贵重物品；不得给发包人的工作人员报销任何费用；不得为发包人的工作人员购置或长期无偿提供交通工具、通讯工具、家电、办公用品等；不得邀请发包人的工作人员参加对执行公务有影响的娱乐活动和宴请；不得接受</w:t>
      </w:r>
      <w:r>
        <w:rPr>
          <w:rFonts w:hint="eastAsia" w:ascii="宋体" w:hAnsi="宋体" w:eastAsia="宋体" w:cs="宋体"/>
          <w:spacing w:val="-5"/>
          <w:sz w:val="28"/>
          <w:szCs w:val="28"/>
          <w:lang w:eastAsia="zh-CN"/>
        </w:rPr>
        <w:t>发包人的工作人员介绍的家属或亲友从事与该项目有关的材料、设备供应或该项目分包等经济活动； 不得为发包人的工作人员装修房子；不得为发包人的工作人员的亲属安排出境和国内旅游等；不得</w:t>
      </w:r>
      <w:r>
        <w:rPr>
          <w:rFonts w:hint="eastAsia" w:ascii="宋体" w:hAnsi="宋体" w:eastAsia="宋体" w:cs="宋体"/>
          <w:spacing w:val="-4"/>
          <w:sz w:val="28"/>
          <w:szCs w:val="28"/>
          <w:lang w:eastAsia="zh-CN"/>
        </w:rPr>
        <w:t>借婚丧嫁娶之机向发包人的工作人员赠送钱</w:t>
      </w:r>
      <w:r>
        <w:rPr>
          <w:rFonts w:hint="eastAsia" w:ascii="宋体" w:hAnsi="宋体" w:eastAsia="宋体" w:cs="宋体"/>
          <w:spacing w:val="-3"/>
          <w:sz w:val="28"/>
          <w:szCs w:val="28"/>
          <w:lang w:eastAsia="zh-CN"/>
        </w:rPr>
        <w:t>（含有价证券</w:t>
      </w:r>
      <w:r>
        <w:rPr>
          <w:rFonts w:hint="eastAsia" w:ascii="宋体" w:hAnsi="宋体" w:eastAsia="宋体" w:cs="宋体"/>
          <w:spacing w:val="-106"/>
          <w:sz w:val="28"/>
          <w:szCs w:val="28"/>
          <w:lang w:eastAsia="zh-CN"/>
        </w:rPr>
        <w:t>）</w:t>
      </w:r>
      <w:r>
        <w:rPr>
          <w:rFonts w:hint="eastAsia" w:ascii="宋体" w:hAnsi="宋体" w:eastAsia="宋体" w:cs="宋体"/>
          <w:spacing w:val="-3"/>
          <w:sz w:val="28"/>
          <w:szCs w:val="28"/>
          <w:lang w:eastAsia="zh-CN"/>
        </w:rPr>
        <w:t>、物。</w:t>
      </w:r>
      <w:r>
        <w:rPr>
          <w:rFonts w:hint="eastAsia" w:ascii="宋体" w:hAnsi="宋体" w:eastAsia="宋体" w:cs="宋体"/>
          <w:sz w:val="28"/>
          <w:szCs w:val="28"/>
          <w:lang w:eastAsia="zh-CN"/>
        </w:rPr>
        <w:t xml:space="preserve"> </w:t>
      </w:r>
    </w:p>
    <w:p w14:paraId="09165FEA">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pacing w:val="-25"/>
          <w:sz w:val="28"/>
          <w:szCs w:val="28"/>
          <w:lang w:eastAsia="zh-CN"/>
        </w:rPr>
        <w:t>）</w:t>
      </w:r>
      <w:r>
        <w:rPr>
          <w:rFonts w:hint="eastAsia" w:ascii="宋体" w:hAnsi="宋体" w:eastAsia="宋体" w:cs="宋体"/>
          <w:spacing w:val="-6"/>
          <w:sz w:val="28"/>
          <w:szCs w:val="28"/>
          <w:lang w:eastAsia="zh-CN"/>
        </w:rPr>
        <w:t>承包人发现发包人的工作人员有不廉洁的行为，必须在</w:t>
      </w:r>
      <w:r>
        <w:rPr>
          <w:rFonts w:hint="eastAsia" w:ascii="宋体" w:hAnsi="宋体" w:eastAsia="宋体" w:cs="宋体"/>
          <w:sz w:val="28"/>
          <w:szCs w:val="28"/>
          <w:lang w:eastAsia="zh-CN"/>
        </w:rPr>
        <w:t>48</w:t>
      </w:r>
      <w:r>
        <w:rPr>
          <w:rFonts w:hint="eastAsia" w:ascii="宋体" w:hAnsi="宋体" w:eastAsia="宋体" w:cs="宋体"/>
          <w:spacing w:val="-7"/>
          <w:sz w:val="28"/>
          <w:szCs w:val="28"/>
          <w:lang w:eastAsia="zh-CN"/>
        </w:rPr>
        <w:t>小时内署名报告发包人的纪检</w:t>
      </w:r>
      <w:r>
        <w:rPr>
          <w:rFonts w:hint="eastAsia" w:ascii="宋体" w:hAnsi="宋体" w:eastAsia="宋体" w:cs="宋体"/>
          <w:spacing w:val="-5"/>
          <w:sz w:val="28"/>
          <w:szCs w:val="28"/>
          <w:lang w:eastAsia="zh-CN"/>
        </w:rPr>
        <w:t>监察人员或有关领导。</w:t>
      </w:r>
      <w:r>
        <w:rPr>
          <w:rFonts w:hint="eastAsia" w:ascii="宋体" w:hAnsi="宋体" w:eastAsia="宋体" w:cs="宋体"/>
          <w:sz w:val="28"/>
          <w:szCs w:val="28"/>
          <w:lang w:eastAsia="zh-CN"/>
        </w:rPr>
        <w:t xml:space="preserve"> </w:t>
      </w:r>
    </w:p>
    <w:p w14:paraId="0FB60FF7">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三、违约责任 </w:t>
      </w:r>
    </w:p>
    <w:p w14:paraId="71EE3B1E">
      <w:pPr>
        <w:pStyle w:val="3"/>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（一）发包人的工作人员违反廉洁责任，经调查属实的，依据有关规定给予党纪、政纪或组织处理；涉嫌犯罪的，移交司法机关追究刑事责任；给承包人造成经济损失的，应予以赔偿。 </w:t>
      </w:r>
    </w:p>
    <w:p w14:paraId="24770AB6">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承包人工作人员违反廉洁责任，经调查属实，依据有关规定给予党纪、政纪组织处理；给发包人造成经济损失的，应予以赔偿；情节严重的，发包人将建议上级主管部门给予承包人一至三年内不得进入其主管的水利工程建设市场的处罚。 </w:t>
      </w:r>
    </w:p>
    <w:p w14:paraId="7276AECF">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四、合同的生效 </w:t>
      </w:r>
    </w:p>
    <w:p w14:paraId="216137CA">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（一）本合同在双方签字盖章后即生效。 </w:t>
      </w:r>
    </w:p>
    <w:p w14:paraId="5A222AE0">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（二）本合同在主合同授予、履行的全过程有效，并作为主合同的附件，与</w:t>
      </w:r>
      <w:r>
        <w:rPr>
          <w:rFonts w:hint="eastAsia" w:ascii="宋体" w:hAnsi="宋体" w:eastAsia="宋体" w:cs="宋体"/>
          <w:sz w:val="28"/>
          <w:szCs w:val="28"/>
          <w:lang w:val="en-US" w:eastAsia="zh-CN"/>
        </w:rPr>
        <w:t>主</w:t>
      </w:r>
      <w:r>
        <w:rPr>
          <w:rFonts w:hint="eastAsia" w:ascii="宋体" w:hAnsi="宋体" w:eastAsia="宋体" w:cs="宋体"/>
          <w:sz w:val="28"/>
          <w:szCs w:val="28"/>
          <w:lang w:eastAsia="zh-CN"/>
        </w:rPr>
        <w:t xml:space="preserve">合同具有同等的法律效力。 </w:t>
      </w:r>
    </w:p>
    <w:p w14:paraId="762B9727">
      <w:pPr>
        <w:pStyle w:val="3"/>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pacing w:val="-3"/>
          <w:sz w:val="28"/>
          <w:szCs w:val="28"/>
          <w:lang w:eastAsia="zh-CN"/>
        </w:rPr>
        <w:t>）本合同一式</w:t>
      </w:r>
      <w:r>
        <w:rPr>
          <w:rFonts w:hint="eastAsia" w:ascii="宋体" w:hAnsi="宋体" w:eastAsia="宋体" w:cs="宋体"/>
          <w:b/>
          <w:bCs/>
          <w:spacing w:val="-3"/>
          <w:sz w:val="28"/>
          <w:szCs w:val="28"/>
          <w:u w:val="single"/>
          <w:lang w:val="en-US" w:eastAsia="zh-CN"/>
        </w:rPr>
        <w:t xml:space="preserve"> </w:t>
      </w:r>
      <w:r>
        <w:rPr>
          <w:rFonts w:hint="eastAsia" w:ascii="宋体" w:hAnsi="宋体" w:eastAsia="宋体" w:cs="宋体"/>
          <w:b/>
          <w:bCs/>
          <w:sz w:val="28"/>
          <w:szCs w:val="28"/>
          <w:u w:val="single"/>
          <w:lang w:val="en-US" w:eastAsia="zh-CN"/>
        </w:rPr>
        <w:t>肆</w:t>
      </w:r>
      <w:r>
        <w:rPr>
          <w:rFonts w:hint="eastAsia" w:ascii="宋体" w:hAnsi="宋体" w:eastAsia="宋体" w:cs="宋体"/>
          <w:b/>
          <w:bCs/>
          <w:spacing w:val="-3"/>
          <w:sz w:val="28"/>
          <w:szCs w:val="28"/>
          <w:u w:val="single"/>
          <w:lang w:val="en-US" w:eastAsia="zh-CN"/>
        </w:rPr>
        <w:t xml:space="preserve"> </w:t>
      </w:r>
      <w:r>
        <w:rPr>
          <w:rFonts w:hint="eastAsia" w:ascii="宋体" w:hAnsi="宋体" w:eastAsia="宋体" w:cs="宋体"/>
          <w:spacing w:val="-3"/>
          <w:sz w:val="28"/>
          <w:szCs w:val="28"/>
          <w:lang w:eastAsia="zh-CN"/>
        </w:rPr>
        <w:t>份，由双方各执</w:t>
      </w:r>
      <w:r>
        <w:rPr>
          <w:rFonts w:hint="eastAsia" w:ascii="宋体" w:hAnsi="宋体" w:eastAsia="宋体" w:cs="宋体"/>
          <w:b/>
          <w:bCs/>
          <w:sz w:val="28"/>
          <w:szCs w:val="28"/>
          <w:u w:val="single"/>
          <w:lang w:eastAsia="zh-CN"/>
        </w:rPr>
        <w:t xml:space="preserve"> </w:t>
      </w:r>
      <w:r>
        <w:rPr>
          <w:rFonts w:hint="eastAsia" w:ascii="宋体" w:hAnsi="宋体" w:cs="宋体"/>
          <w:b/>
          <w:bCs/>
          <w:sz w:val="28"/>
          <w:szCs w:val="28"/>
          <w:u w:val="single"/>
          <w:lang w:val="en-US" w:eastAsia="zh-CN"/>
        </w:rPr>
        <w:t>贰</w:t>
      </w:r>
      <w:r>
        <w:rPr>
          <w:rFonts w:hint="eastAsia" w:ascii="宋体" w:hAnsi="宋体" w:eastAsia="宋体" w:cs="宋体"/>
          <w:b/>
          <w:bCs/>
          <w:sz w:val="28"/>
          <w:szCs w:val="28"/>
          <w:u w:val="single"/>
          <w:lang w:eastAsia="zh-CN"/>
        </w:rPr>
        <w:t xml:space="preserve"> </w:t>
      </w:r>
      <w:r>
        <w:rPr>
          <w:rFonts w:hint="eastAsia" w:ascii="宋体" w:hAnsi="宋体" w:eastAsia="宋体" w:cs="宋体"/>
          <w:spacing w:val="-2"/>
          <w:sz w:val="28"/>
          <w:szCs w:val="28"/>
          <w:lang w:eastAsia="zh-CN"/>
        </w:rPr>
        <w:t xml:space="preserve">份。 </w:t>
      </w:r>
    </w:p>
    <w:p w14:paraId="7A3DE851">
      <w:pPr>
        <w:pStyle w:val="3"/>
        <w:keepNext w:val="0"/>
        <w:keepLines w:val="0"/>
        <w:pageBreakBefore w:val="0"/>
        <w:widowControl w:val="0"/>
        <w:kinsoku/>
        <w:wordWrap/>
        <w:overflowPunct/>
        <w:topLinePunct w:val="0"/>
        <w:autoSpaceDE/>
        <w:autoSpaceDN/>
        <w:bidi w:val="0"/>
        <w:adjustRightInd/>
        <w:spacing w:before="72" w:line="560" w:lineRule="exact"/>
        <w:jc w:val="both"/>
        <w:textAlignment w:val="auto"/>
        <w:rPr>
          <w:rFonts w:hint="eastAsia" w:ascii="宋体" w:hAnsi="宋体" w:eastAsia="宋体" w:cs="宋体"/>
          <w:spacing w:val="-3"/>
          <w:sz w:val="28"/>
          <w:szCs w:val="28"/>
          <w:lang w:eastAsia="zh-CN"/>
        </w:rPr>
      </w:pPr>
    </w:p>
    <w:p w14:paraId="5C8745CA">
      <w:pPr>
        <w:pStyle w:val="3"/>
        <w:keepNext w:val="0"/>
        <w:keepLines w:val="0"/>
        <w:pageBreakBefore w:val="0"/>
        <w:widowControl w:val="0"/>
        <w:kinsoku/>
        <w:wordWrap/>
        <w:overflowPunct/>
        <w:topLinePunct w:val="0"/>
        <w:autoSpaceDE/>
        <w:autoSpaceDN/>
        <w:bidi w:val="0"/>
        <w:adjustRightInd/>
        <w:spacing w:before="72"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发包人（盖章）：</w:t>
      </w:r>
      <w:r>
        <w:rPr>
          <w:rFonts w:hint="eastAsia" w:ascii="宋体" w:hAnsi="宋体" w:eastAsia="宋体" w:cs="宋体"/>
          <w:sz w:val="28"/>
          <w:szCs w:val="28"/>
          <w:u w:val="single"/>
          <w:lang w:eastAsia="zh-CN"/>
        </w:rPr>
        <w:t>河池市生态及资源投资开发有限公司</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328B2FC8">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法定代表人或其授权代理人（签字或盖章）：</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5901F67E">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日</w:t>
      </w:r>
      <w:r>
        <w:rPr>
          <w:rFonts w:hint="eastAsia" w:ascii="宋体" w:hAnsi="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 期 ：</w:t>
      </w:r>
      <w:r>
        <w:rPr>
          <w:rFonts w:hint="eastAsia" w:ascii="宋体" w:hAnsi="宋体" w:cs="宋体"/>
          <w:spacing w:val="-2"/>
          <w:sz w:val="28"/>
          <w:szCs w:val="28"/>
          <w:lang w:val="en-US" w:eastAsia="zh-CN"/>
        </w:rPr>
        <w:t>2025</w:t>
      </w:r>
      <w:r>
        <w:rPr>
          <w:rFonts w:hint="eastAsia" w:ascii="宋体" w:hAnsi="宋体" w:eastAsia="宋体" w:cs="宋体"/>
          <w:spacing w:val="-2"/>
          <w:sz w:val="28"/>
          <w:szCs w:val="28"/>
          <w:lang w:eastAsia="zh-CN"/>
        </w:rPr>
        <w:t>年</w:t>
      </w:r>
      <w:r>
        <w:rPr>
          <w:rFonts w:hint="eastAsia" w:ascii="宋体" w:hAnsi="宋体" w:cs="宋体"/>
          <w:spacing w:val="-2"/>
          <w:sz w:val="28"/>
          <w:szCs w:val="28"/>
          <w:lang w:val="en-US" w:eastAsia="zh-CN"/>
        </w:rPr>
        <w:t xml:space="preserve">  </w:t>
      </w:r>
      <w:r>
        <w:rPr>
          <w:rFonts w:hint="eastAsia" w:ascii="宋体" w:hAnsi="宋体" w:eastAsia="宋体" w:cs="宋体"/>
          <w:spacing w:val="-2"/>
          <w:sz w:val="28"/>
          <w:szCs w:val="28"/>
          <w:lang w:eastAsia="zh-CN"/>
        </w:rPr>
        <w:t>月</w:t>
      </w:r>
      <w:r>
        <w:rPr>
          <w:rFonts w:hint="eastAsia" w:ascii="宋体" w:hAnsi="宋体" w:cs="宋体"/>
          <w:spacing w:val="-2"/>
          <w:sz w:val="28"/>
          <w:szCs w:val="28"/>
          <w:lang w:val="en-US" w:eastAsia="zh-CN"/>
        </w:rPr>
        <w:t xml:space="preserve">  </w:t>
      </w:r>
      <w:r>
        <w:rPr>
          <w:rFonts w:hint="eastAsia" w:ascii="宋体" w:hAnsi="宋体" w:eastAsia="宋体" w:cs="宋体"/>
          <w:spacing w:val="-2"/>
          <w:sz w:val="28"/>
          <w:szCs w:val="28"/>
          <w:lang w:val="en-US" w:eastAsia="zh-CN"/>
        </w:rPr>
        <w:t>日</w:t>
      </w:r>
      <w:r>
        <w:rPr>
          <w:rFonts w:hint="eastAsia" w:ascii="宋体" w:hAnsi="宋体" w:eastAsia="宋体" w:cs="宋体"/>
          <w:sz w:val="28"/>
          <w:szCs w:val="28"/>
          <w:lang w:eastAsia="zh-CN"/>
        </w:rPr>
        <w:t xml:space="preserve"> </w:t>
      </w:r>
    </w:p>
    <w:p w14:paraId="3B56DABF">
      <w:pPr>
        <w:pStyle w:val="3"/>
        <w:keepNext w:val="0"/>
        <w:keepLines w:val="0"/>
        <w:pageBreakBefore w:val="0"/>
        <w:widowControl w:val="0"/>
        <w:kinsoku/>
        <w:wordWrap/>
        <w:overflowPunct/>
        <w:topLinePunct w:val="0"/>
        <w:autoSpaceDE/>
        <w:autoSpaceDN/>
        <w:bidi w:val="0"/>
        <w:adjustRightInd/>
        <w:spacing w:before="139" w:line="560" w:lineRule="exact"/>
        <w:jc w:val="both"/>
        <w:textAlignment w:val="auto"/>
        <w:rPr>
          <w:rFonts w:hint="eastAsia" w:ascii="宋体" w:hAnsi="宋体" w:eastAsia="宋体" w:cs="宋体"/>
          <w:spacing w:val="-3"/>
          <w:sz w:val="28"/>
          <w:szCs w:val="28"/>
          <w:lang w:eastAsia="zh-CN"/>
        </w:rPr>
      </w:pPr>
    </w:p>
    <w:p w14:paraId="5DBCB2B5">
      <w:pPr>
        <w:pStyle w:val="3"/>
        <w:keepNext w:val="0"/>
        <w:keepLines w:val="0"/>
        <w:pageBreakBefore w:val="0"/>
        <w:widowControl w:val="0"/>
        <w:kinsoku/>
        <w:wordWrap/>
        <w:overflowPunct/>
        <w:topLinePunct w:val="0"/>
        <w:autoSpaceDE/>
        <w:autoSpaceDN/>
        <w:bidi w:val="0"/>
        <w:adjustRightInd/>
        <w:spacing w:before="139"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承包人（盖章）：</w:t>
      </w:r>
      <w:r>
        <w:rPr>
          <w:rFonts w:hint="eastAsia" w:ascii="Arial" w:hAnsi="Arial" w:eastAsia="宋体" w:cs="Arial"/>
          <w:i w:val="0"/>
          <w:iCs w:val="0"/>
          <w:caps w:val="0"/>
          <w:color w:val="000000"/>
          <w:spacing w:val="0"/>
          <w:sz w:val="28"/>
          <w:szCs w:val="28"/>
          <w:u w:val="single"/>
          <w:shd w:val="clear" w:fill="FFFFFF"/>
          <w:lang w:val="en-US"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5E63ADF3">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法定代表人或其授权代理人（签字或盖章）：</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z w:val="28"/>
          <w:szCs w:val="28"/>
          <w:lang w:eastAsia="zh-CN"/>
        </w:rPr>
        <w:t xml:space="preserve"> </w:t>
      </w:r>
    </w:p>
    <w:p w14:paraId="6915CEEE">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28"/>
          <w:szCs w:val="28"/>
          <w:highlight w:val="none"/>
        </w:rPr>
      </w:pPr>
      <w:r>
        <w:rPr>
          <w:rFonts w:hint="eastAsia" w:ascii="宋体" w:hAnsi="宋体" w:eastAsia="宋体" w:cs="宋体"/>
          <w:spacing w:val="-2"/>
          <w:sz w:val="28"/>
          <w:szCs w:val="28"/>
          <w:lang w:eastAsia="zh-CN"/>
        </w:rPr>
        <w:t>日</w:t>
      </w:r>
      <w:r>
        <w:rPr>
          <w:rFonts w:hint="eastAsia" w:ascii="宋体" w:hAnsi="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 期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年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月</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日</w:t>
      </w:r>
    </w:p>
    <w:sectPr>
      <w:headerReference r:id="rId5" w:type="default"/>
      <w:footerReference r:id="rId6" w:type="default"/>
      <w:pgSz w:w="11906" w:h="16838"/>
      <w:pgMar w:top="2098" w:right="1474" w:bottom="127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7152">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1DB1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EC1DB1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1B0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Times New Roman" w:hAnsi="Times New Roman" w:eastAsia="宋体" w:cs="Times New Roman"/>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328BE8">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- 1 -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8328BE8">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- 1 -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D76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1D8C5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1D8C5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243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B4018"/>
    <w:multiLevelType w:val="singleLevel"/>
    <w:tmpl w:val="713B4018"/>
    <w:lvl w:ilvl="0" w:tentative="0">
      <w:start w:val="1"/>
      <w:numFmt w:val="upperLetter"/>
      <w:pStyle w:val="2"/>
      <w:lvlText w:val="%1."/>
      <w:lvlJc w:val="left"/>
      <w:pPr>
        <w:tabs>
          <w:tab w:val="left"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jFiOTE4ODE3NzkwYzI2N2I4MjBiMWUzOTkxMmIifQ=="/>
  </w:docVars>
  <w:rsids>
    <w:rsidRoot w:val="48FF3C91"/>
    <w:rsid w:val="006E05BE"/>
    <w:rsid w:val="019D6487"/>
    <w:rsid w:val="039D18E6"/>
    <w:rsid w:val="051536FE"/>
    <w:rsid w:val="09664528"/>
    <w:rsid w:val="0A930267"/>
    <w:rsid w:val="0BB16AED"/>
    <w:rsid w:val="0C02770D"/>
    <w:rsid w:val="0C98769D"/>
    <w:rsid w:val="0CB36442"/>
    <w:rsid w:val="0F5C08A7"/>
    <w:rsid w:val="10CB73B7"/>
    <w:rsid w:val="10E30B54"/>
    <w:rsid w:val="122B3E5E"/>
    <w:rsid w:val="1362690C"/>
    <w:rsid w:val="152F4368"/>
    <w:rsid w:val="15C50828"/>
    <w:rsid w:val="164C7EB4"/>
    <w:rsid w:val="16F94C2D"/>
    <w:rsid w:val="177249E0"/>
    <w:rsid w:val="18A961DF"/>
    <w:rsid w:val="1A553FC9"/>
    <w:rsid w:val="1A954C6D"/>
    <w:rsid w:val="1AF20311"/>
    <w:rsid w:val="1DDC7057"/>
    <w:rsid w:val="1ECC0FCA"/>
    <w:rsid w:val="1F2056A8"/>
    <w:rsid w:val="2214132D"/>
    <w:rsid w:val="22156A2E"/>
    <w:rsid w:val="225F463E"/>
    <w:rsid w:val="24855D52"/>
    <w:rsid w:val="26733805"/>
    <w:rsid w:val="27D36DD5"/>
    <w:rsid w:val="28727C37"/>
    <w:rsid w:val="28885E11"/>
    <w:rsid w:val="2AEB4DE3"/>
    <w:rsid w:val="2B2161B7"/>
    <w:rsid w:val="2B801021"/>
    <w:rsid w:val="2BDE4BCF"/>
    <w:rsid w:val="2C5524AE"/>
    <w:rsid w:val="2D8E7B01"/>
    <w:rsid w:val="2EAC2D62"/>
    <w:rsid w:val="2FD7020E"/>
    <w:rsid w:val="30B07AA3"/>
    <w:rsid w:val="317A456E"/>
    <w:rsid w:val="3251196A"/>
    <w:rsid w:val="32C3173D"/>
    <w:rsid w:val="34594B05"/>
    <w:rsid w:val="34FD5B31"/>
    <w:rsid w:val="354371A2"/>
    <w:rsid w:val="35F20D6E"/>
    <w:rsid w:val="363B44C3"/>
    <w:rsid w:val="379D4231"/>
    <w:rsid w:val="390C2146"/>
    <w:rsid w:val="39662B65"/>
    <w:rsid w:val="39763A64"/>
    <w:rsid w:val="3A900B55"/>
    <w:rsid w:val="3AF70BD4"/>
    <w:rsid w:val="3C025A83"/>
    <w:rsid w:val="3C246C55"/>
    <w:rsid w:val="3D9F7A2D"/>
    <w:rsid w:val="3E201425"/>
    <w:rsid w:val="3F3B5533"/>
    <w:rsid w:val="40414DCB"/>
    <w:rsid w:val="42966EC0"/>
    <w:rsid w:val="42C768A4"/>
    <w:rsid w:val="42DA1507"/>
    <w:rsid w:val="42DE4B54"/>
    <w:rsid w:val="431A4CA1"/>
    <w:rsid w:val="43370050"/>
    <w:rsid w:val="44121510"/>
    <w:rsid w:val="462F56C6"/>
    <w:rsid w:val="4847426C"/>
    <w:rsid w:val="48FF3C91"/>
    <w:rsid w:val="4B552F6F"/>
    <w:rsid w:val="4DE373BB"/>
    <w:rsid w:val="50FB71FD"/>
    <w:rsid w:val="541128AF"/>
    <w:rsid w:val="55FE3146"/>
    <w:rsid w:val="56293EE0"/>
    <w:rsid w:val="58FD3402"/>
    <w:rsid w:val="5AB02E22"/>
    <w:rsid w:val="5C0827EA"/>
    <w:rsid w:val="5E0B036F"/>
    <w:rsid w:val="5E5134FC"/>
    <w:rsid w:val="5EFB027D"/>
    <w:rsid w:val="5F7206A6"/>
    <w:rsid w:val="5FE32FC0"/>
    <w:rsid w:val="60B60A66"/>
    <w:rsid w:val="615D6EDF"/>
    <w:rsid w:val="6166423A"/>
    <w:rsid w:val="63A64CA2"/>
    <w:rsid w:val="63E678B4"/>
    <w:rsid w:val="649A2064"/>
    <w:rsid w:val="67416616"/>
    <w:rsid w:val="67D02713"/>
    <w:rsid w:val="68894210"/>
    <w:rsid w:val="6C6770B8"/>
    <w:rsid w:val="6CBA68B3"/>
    <w:rsid w:val="6EBC7B8F"/>
    <w:rsid w:val="6FA36659"/>
    <w:rsid w:val="746A5998"/>
    <w:rsid w:val="746C7962"/>
    <w:rsid w:val="769E7B7B"/>
    <w:rsid w:val="770A73A3"/>
    <w:rsid w:val="77D47CF8"/>
    <w:rsid w:val="78EE4DE9"/>
    <w:rsid w:val="7AA5797C"/>
    <w:rsid w:val="7AC758F2"/>
    <w:rsid w:val="7E4F7BDA"/>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numPr>
        <w:ilvl w:val="0"/>
        <w:numId w:val="1"/>
      </w:numPr>
      <w:spacing w:line="360" w:lineRule="auto"/>
      <w:outlineLvl w:val="1"/>
    </w:pPr>
    <w:rPr>
      <w:b/>
      <w:sz w:val="24"/>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unhideWhenUsed/>
    <w:qFormat/>
    <w:uiPriority w:val="0"/>
    <w:pPr>
      <w:ind w:firstLine="640" w:firstLineChars="200"/>
    </w:pPr>
    <w:rPr>
      <w:ker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semiHidden/>
    <w:qFormat/>
    <w:uiPriority w:val="0"/>
    <w:pPr>
      <w:ind w:left="210"/>
      <w:jc w:val="left"/>
    </w:pPr>
    <w:rPr>
      <w:rFonts w:ascii="Times New Roman" w:hAnsi="Times New Roman"/>
      <w:smallCaps/>
      <w:sz w:val="20"/>
    </w:rPr>
  </w:style>
  <w:style w:type="paragraph" w:styleId="9">
    <w:name w:val="Normal (Web)"/>
    <w:basedOn w:val="1"/>
    <w:qFormat/>
    <w:uiPriority w:val="0"/>
    <w:pPr>
      <w:jc w:val="left"/>
    </w:pPr>
    <w:rPr>
      <w:kern w:val="0"/>
      <w:sz w:val="24"/>
    </w:rPr>
  </w:style>
  <w:style w:type="paragraph" w:styleId="10">
    <w:name w:val="Body Text First Indent"/>
    <w:basedOn w:val="11"/>
    <w:qFormat/>
    <w:uiPriority w:val="0"/>
    <w:pPr>
      <w:spacing w:after="120"/>
      <w:ind w:firstLine="420" w:firstLineChars="100"/>
    </w:pPr>
    <w:rPr>
      <w:rFonts w:ascii="Times New Roman" w:hAnsi="Times New Roman" w:eastAsia="仿宋"/>
    </w:rPr>
  </w:style>
  <w:style w:type="paragraph" w:customStyle="1" w:styleId="11">
    <w:name w:val="正文文本_0"/>
    <w:basedOn w:val="12"/>
    <w:qFormat/>
    <w:uiPriority w:val="0"/>
    <w:pPr>
      <w:spacing w:after="120" w:afterLines="0"/>
    </w:pPr>
  </w:style>
  <w:style w:type="paragraph" w:customStyle="1" w:styleId="12">
    <w:name w:val="正文_0"/>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qFormat/>
    <w:uiPriority w:val="0"/>
    <w:pPr>
      <w:widowControl w:val="0"/>
      <w:tabs>
        <w:tab w:val="left" w:pos="0"/>
        <w:tab w:val="left" w:pos="993"/>
        <w:tab w:val="left" w:pos="1134"/>
      </w:tabs>
      <w:ind w:firstLine="420"/>
      <w:jc w:val="both"/>
    </w:pPr>
    <w:rPr>
      <w:rFonts w:ascii="Times New Roman" w:hAnsi="Times New Roman" w:eastAsia="宋体" w:cs="Times New Roman"/>
      <w:kern w:val="2"/>
      <w:sz w:val="21"/>
      <w:szCs w:val="24"/>
      <w:lang w:val="en-US" w:eastAsia="zh-CN" w:bidi="ar-SA"/>
    </w:rPr>
  </w:style>
  <w:style w:type="paragraph" w:customStyle="1" w:styleId="16">
    <w:name w:val="引言二级条标题"/>
    <w:basedOn w:val="17"/>
    <w:next w:val="18"/>
    <w:qFormat/>
    <w:uiPriority w:val="0"/>
    <w:pPr>
      <w:ind w:left="0" w:firstLine="0"/>
    </w:pPr>
    <w:rPr>
      <w:rFonts w:eastAsia="宋体"/>
    </w:rPr>
  </w:style>
  <w:style w:type="paragraph" w:customStyle="1" w:styleId="17">
    <w:name w:val="引言一级条标题"/>
    <w:basedOn w:val="1"/>
    <w:next w:val="18"/>
    <w:qFormat/>
    <w:uiPriority w:val="0"/>
    <w:pPr>
      <w:widowControl/>
      <w:spacing w:beforeAutospacing="1" w:afterAutospacing="1"/>
      <w:ind w:left="900" w:hanging="900"/>
    </w:pPr>
    <w:rPr>
      <w:rFonts w:eastAsia="黑体"/>
      <w:b/>
      <w:bCs/>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6648</Words>
  <Characters>6852</Characters>
  <Lines>0</Lines>
  <Paragraphs>0</Paragraphs>
  <TotalTime>3</TotalTime>
  <ScaleCrop>false</ScaleCrop>
  <LinksUpToDate>false</LinksUpToDate>
  <CharactersWithSpaces>7419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2022-01-11T01:42:00Z</dcterms:created>
  <dc:creator>WPS_1035742416</dc:creator>
  <cp:lastModifiedBy>城投集团综合办公室</cp:lastModifiedBy>
  <cp:lastPrinted>2022-05-18T07:11:00Z</cp:lastPrinted>
  <dcterms:modified xsi:type="dcterms:W3CDTF">2025-08-01T09:40:57Z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023076F1581244E2ABDD43BA745A3B3F</vt:lpwstr>
  </property>
  <property fmtid="{D5CDD505-2E9C-101B-9397-08002B2CF9AE}" pid="4" name="KSOTemplateDocerSaveRecord">
    <vt:lpwstr>eyJoZGlkIjoiMGExN2ZlMWQ0NzhiMjFkOTA2NTM0MGE1MDE1Njg5OGEiLCJ1c2VySWQiOiIxNDQ4MTU1NDk4In0=</vt:lpwstr>
  </property>
</Properties>
</file>